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C2E10" w14:textId="224D396F" w:rsidR="00895661" w:rsidRPr="004D68BA" w:rsidRDefault="00944B2E" w:rsidP="00BB2B41">
      <w:pPr>
        <w:spacing w:after="1560"/>
        <w:rPr>
          <w:rFonts w:ascii="Verdana" w:hAnsi="Verdana"/>
          <w:sz w:val="18"/>
          <w:szCs w:val="18"/>
        </w:rPr>
      </w:pPr>
      <w:r>
        <w:rPr>
          <w:rFonts w:ascii="Verdana" w:hAnsi="Verdana"/>
          <w:sz w:val="18"/>
          <w:szCs w:val="18"/>
        </w:rPr>
        <w:pict w14:anchorId="300F6B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of the Netherlands National Contact Point for Responsible Business Conduct for Multinational Enterprises" style="width:450.8pt;height:68.2pt">
            <v:imagedata r:id="rId11" o:title="70427_NCP_logo_01"/>
          </v:shape>
        </w:pict>
      </w:r>
    </w:p>
    <w:p w14:paraId="70B4B4D6" w14:textId="77777777" w:rsidR="004170D9" w:rsidRDefault="003C757C" w:rsidP="004170D9">
      <w:pPr>
        <w:spacing w:after="0"/>
        <w:rPr>
          <w:b/>
          <w:color w:val="0070C0"/>
          <w:sz w:val="32"/>
          <w:szCs w:val="32"/>
        </w:rPr>
      </w:pPr>
      <w:r w:rsidRPr="00FD4A30">
        <w:rPr>
          <w:b/>
          <w:color w:val="0070C0"/>
          <w:sz w:val="32"/>
          <w:szCs w:val="32"/>
        </w:rPr>
        <w:t xml:space="preserve">Initial Assessment </w:t>
      </w:r>
    </w:p>
    <w:p w14:paraId="2BF90122" w14:textId="2462787A" w:rsidR="003C757C" w:rsidRPr="00FD4A30" w:rsidRDefault="00E86BD8" w:rsidP="004170D9">
      <w:pPr>
        <w:spacing w:after="480"/>
        <w:rPr>
          <w:b/>
          <w:bCs/>
          <w:color w:val="0070C0"/>
          <w:sz w:val="32"/>
          <w:szCs w:val="32"/>
        </w:rPr>
      </w:pPr>
      <w:r>
        <w:rPr>
          <w:rFonts w:cstheme="minorHAnsi"/>
          <w:b/>
          <w:color w:val="0070C0"/>
          <w:sz w:val="32"/>
          <w:szCs w:val="32"/>
        </w:rPr>
        <w:t>BWI et al.</w:t>
      </w:r>
      <w:r w:rsidR="004170D9">
        <w:rPr>
          <w:rFonts w:cstheme="minorHAnsi"/>
          <w:b/>
          <w:color w:val="0070C0"/>
          <w:sz w:val="32"/>
          <w:szCs w:val="32"/>
        </w:rPr>
        <w:t xml:space="preserve"> </w:t>
      </w:r>
      <w:r w:rsidR="003C757C" w:rsidRPr="00FD4A30">
        <w:rPr>
          <w:rFonts w:cstheme="minorHAnsi"/>
          <w:b/>
          <w:color w:val="0070C0"/>
          <w:sz w:val="32"/>
          <w:szCs w:val="32"/>
        </w:rPr>
        <w:t xml:space="preserve">vs </w:t>
      </w:r>
      <w:r w:rsidR="004275F8" w:rsidRPr="0A0F3908">
        <w:rPr>
          <w:b/>
          <w:bCs/>
          <w:color w:val="0070C0"/>
          <w:sz w:val="32"/>
          <w:szCs w:val="32"/>
        </w:rPr>
        <w:t xml:space="preserve">Inter </w:t>
      </w:r>
      <w:r w:rsidR="00D773A9" w:rsidRPr="0A0F3908">
        <w:rPr>
          <w:b/>
          <w:bCs/>
          <w:color w:val="0070C0"/>
          <w:sz w:val="32"/>
          <w:szCs w:val="32"/>
        </w:rPr>
        <w:t>IKEA</w:t>
      </w:r>
      <w:r w:rsidR="004275F8" w:rsidRPr="0A0F3908">
        <w:rPr>
          <w:b/>
          <w:bCs/>
          <w:color w:val="0070C0"/>
          <w:sz w:val="32"/>
          <w:szCs w:val="32"/>
        </w:rPr>
        <w:t xml:space="preserve"> Holding B.V.</w:t>
      </w:r>
    </w:p>
    <w:p w14:paraId="3262A367" w14:textId="77777777" w:rsidR="003C757C" w:rsidRPr="004170D9" w:rsidRDefault="003C757C" w:rsidP="00BB2B41">
      <w:pPr>
        <w:spacing w:after="1200"/>
        <w:rPr>
          <w:b/>
          <w:color w:val="0070C0"/>
          <w:sz w:val="32"/>
          <w:szCs w:val="32"/>
        </w:rPr>
      </w:pPr>
      <w:r w:rsidRPr="004170D9">
        <w:rPr>
          <w:b/>
          <w:color w:val="0070C0"/>
          <w:sz w:val="32"/>
          <w:szCs w:val="32"/>
        </w:rPr>
        <w:t>Date</w:t>
      </w:r>
      <w:r w:rsidR="00FD4A30" w:rsidRPr="004170D9">
        <w:rPr>
          <w:b/>
          <w:color w:val="0070C0"/>
          <w:sz w:val="32"/>
          <w:szCs w:val="32"/>
        </w:rPr>
        <w:t xml:space="preserve">: </w:t>
      </w:r>
      <w:r w:rsidRPr="004170D9">
        <w:rPr>
          <w:b/>
          <w:color w:val="0070C0"/>
          <w:sz w:val="32"/>
          <w:szCs w:val="32"/>
        </w:rPr>
        <w:t>*</w:t>
      </w:r>
    </w:p>
    <w:p w14:paraId="2216C287" w14:textId="77777777" w:rsidR="001B728A" w:rsidRPr="004170D9" w:rsidRDefault="001B728A" w:rsidP="004170D9">
      <w:pPr>
        <w:pStyle w:val="Hoofdtekst"/>
        <w:spacing w:after="240" w:line="259" w:lineRule="auto"/>
        <w:rPr>
          <w:rFonts w:asciiTheme="minorHAnsi" w:hAnsiTheme="minorHAnsi" w:cstheme="minorHAnsi"/>
          <w:b/>
          <w:sz w:val="22"/>
          <w:szCs w:val="22"/>
          <w:lang w:val="en-US"/>
        </w:rPr>
      </w:pPr>
      <w:r w:rsidRPr="004170D9">
        <w:rPr>
          <w:rFonts w:asciiTheme="minorHAnsi" w:hAnsiTheme="minorHAnsi" w:cstheme="minorHAnsi"/>
          <w:b/>
          <w:sz w:val="22"/>
          <w:szCs w:val="22"/>
          <w:lang w:val="en-US"/>
        </w:rPr>
        <w:t>Notification to the Netherlan</w:t>
      </w:r>
      <w:r w:rsidR="004275F8" w:rsidRPr="004170D9">
        <w:rPr>
          <w:rFonts w:asciiTheme="minorHAnsi" w:hAnsiTheme="minorHAnsi" w:cstheme="minorHAnsi"/>
          <w:b/>
          <w:sz w:val="22"/>
          <w:szCs w:val="22"/>
          <w:lang w:val="en-US"/>
        </w:rPr>
        <w:t xml:space="preserve">ds National Contact Point by </w:t>
      </w:r>
      <w:r w:rsidR="004275F8" w:rsidRPr="004170D9">
        <w:rPr>
          <w:rFonts w:asciiTheme="minorHAnsi" w:hAnsiTheme="minorHAnsi" w:cstheme="minorHAnsi"/>
          <w:b/>
          <w:sz w:val="22"/>
          <w:szCs w:val="22"/>
          <w:lang w:val="en-US" w:eastAsia="en-US"/>
        </w:rPr>
        <w:t>the Building and Wood Workers International</w:t>
      </w:r>
      <w:r w:rsidR="005E1CCF" w:rsidRPr="004170D9">
        <w:rPr>
          <w:rFonts w:asciiTheme="minorHAnsi" w:hAnsiTheme="minorHAnsi" w:cstheme="minorHAnsi"/>
          <w:b/>
          <w:sz w:val="22"/>
          <w:szCs w:val="22"/>
          <w:lang w:val="en-US" w:eastAsia="en-US"/>
        </w:rPr>
        <w:t xml:space="preserve"> (BWI)</w:t>
      </w:r>
      <w:r w:rsidR="004275F8" w:rsidRPr="004170D9">
        <w:rPr>
          <w:rFonts w:asciiTheme="minorHAnsi" w:hAnsiTheme="minorHAnsi" w:cstheme="minorHAnsi"/>
          <w:b/>
          <w:sz w:val="22"/>
          <w:szCs w:val="22"/>
          <w:lang w:val="en-US" w:eastAsia="en-US"/>
        </w:rPr>
        <w:t xml:space="preserve">, the International Association of Machinists and Aerospace Workers of North America (IAMAW) and </w:t>
      </w:r>
      <w:proofErr w:type="spellStart"/>
      <w:r w:rsidR="004275F8" w:rsidRPr="004170D9">
        <w:rPr>
          <w:rFonts w:asciiTheme="minorHAnsi" w:hAnsiTheme="minorHAnsi" w:cstheme="minorHAnsi"/>
          <w:b/>
          <w:sz w:val="22"/>
          <w:szCs w:val="22"/>
          <w:lang w:val="en-US" w:eastAsia="en-US"/>
        </w:rPr>
        <w:t>Facket</w:t>
      </w:r>
      <w:proofErr w:type="spellEnd"/>
      <w:r w:rsidR="004275F8" w:rsidRPr="004170D9">
        <w:rPr>
          <w:rFonts w:asciiTheme="minorHAnsi" w:hAnsiTheme="minorHAnsi" w:cstheme="minorHAnsi"/>
          <w:b/>
          <w:sz w:val="22"/>
          <w:szCs w:val="22"/>
          <w:lang w:val="en-US" w:eastAsia="en-US"/>
        </w:rPr>
        <w:t xml:space="preserve"> </w:t>
      </w:r>
      <w:proofErr w:type="spellStart"/>
      <w:r w:rsidR="004275F8" w:rsidRPr="004170D9">
        <w:rPr>
          <w:rFonts w:asciiTheme="minorHAnsi" w:hAnsiTheme="minorHAnsi" w:cstheme="minorHAnsi"/>
          <w:b/>
          <w:sz w:val="22"/>
          <w:szCs w:val="22"/>
          <w:lang w:val="en-US" w:eastAsia="en-US"/>
        </w:rPr>
        <w:t>För</w:t>
      </w:r>
      <w:proofErr w:type="spellEnd"/>
      <w:r w:rsidR="004275F8" w:rsidRPr="004170D9">
        <w:rPr>
          <w:rFonts w:asciiTheme="minorHAnsi" w:hAnsiTheme="minorHAnsi" w:cstheme="minorHAnsi"/>
          <w:b/>
          <w:sz w:val="22"/>
          <w:szCs w:val="22"/>
          <w:lang w:val="en-US" w:eastAsia="en-US"/>
        </w:rPr>
        <w:t xml:space="preserve"> </w:t>
      </w:r>
      <w:proofErr w:type="spellStart"/>
      <w:r w:rsidR="005E1CCF" w:rsidRPr="004170D9">
        <w:rPr>
          <w:rFonts w:asciiTheme="minorHAnsi" w:hAnsiTheme="minorHAnsi" w:cstheme="minorHAnsi"/>
          <w:b/>
          <w:sz w:val="22"/>
          <w:szCs w:val="22"/>
          <w:lang w:val="en-US" w:eastAsia="en-US"/>
        </w:rPr>
        <w:t>Skogs</w:t>
      </w:r>
      <w:proofErr w:type="spellEnd"/>
      <w:r w:rsidR="005E1CCF" w:rsidRPr="004170D9">
        <w:rPr>
          <w:rFonts w:asciiTheme="minorHAnsi" w:hAnsiTheme="minorHAnsi" w:cstheme="minorHAnsi"/>
          <w:b/>
          <w:sz w:val="22"/>
          <w:szCs w:val="22"/>
          <w:lang w:val="en-US" w:eastAsia="en-US"/>
        </w:rPr>
        <w:t xml:space="preserve">-, </w:t>
      </w:r>
      <w:proofErr w:type="spellStart"/>
      <w:r w:rsidR="005E1CCF" w:rsidRPr="004170D9">
        <w:rPr>
          <w:rFonts w:asciiTheme="minorHAnsi" w:hAnsiTheme="minorHAnsi" w:cstheme="minorHAnsi"/>
          <w:b/>
          <w:sz w:val="22"/>
          <w:szCs w:val="22"/>
          <w:lang w:val="en-US" w:eastAsia="en-US"/>
        </w:rPr>
        <w:t>Trä</w:t>
      </w:r>
      <w:proofErr w:type="spellEnd"/>
      <w:r w:rsidR="005E1CCF" w:rsidRPr="004170D9">
        <w:rPr>
          <w:rFonts w:asciiTheme="minorHAnsi" w:hAnsiTheme="minorHAnsi" w:cstheme="minorHAnsi"/>
          <w:b/>
          <w:sz w:val="22"/>
          <w:szCs w:val="22"/>
          <w:lang w:val="en-US" w:eastAsia="en-US"/>
        </w:rPr>
        <w:t xml:space="preserve"> </w:t>
      </w:r>
      <w:proofErr w:type="spellStart"/>
      <w:r w:rsidR="005E1CCF" w:rsidRPr="004170D9">
        <w:rPr>
          <w:rFonts w:asciiTheme="minorHAnsi" w:hAnsiTheme="minorHAnsi" w:cstheme="minorHAnsi"/>
          <w:b/>
          <w:sz w:val="22"/>
          <w:szCs w:val="22"/>
          <w:lang w:val="en-US" w:eastAsia="en-US"/>
        </w:rPr>
        <w:t>och</w:t>
      </w:r>
      <w:proofErr w:type="spellEnd"/>
      <w:r w:rsidR="005E1CCF" w:rsidRPr="004170D9">
        <w:rPr>
          <w:rFonts w:asciiTheme="minorHAnsi" w:hAnsiTheme="minorHAnsi" w:cstheme="minorHAnsi"/>
          <w:b/>
          <w:sz w:val="22"/>
          <w:szCs w:val="22"/>
          <w:lang w:val="en-US" w:eastAsia="en-US"/>
        </w:rPr>
        <w:t xml:space="preserve"> </w:t>
      </w:r>
      <w:proofErr w:type="spellStart"/>
      <w:r w:rsidR="005E1CCF" w:rsidRPr="004170D9">
        <w:rPr>
          <w:rFonts w:asciiTheme="minorHAnsi" w:hAnsiTheme="minorHAnsi" w:cstheme="minorHAnsi"/>
          <w:b/>
          <w:sz w:val="22"/>
          <w:szCs w:val="22"/>
          <w:lang w:val="en-US" w:eastAsia="en-US"/>
        </w:rPr>
        <w:t>Grafisk</w:t>
      </w:r>
      <w:proofErr w:type="spellEnd"/>
      <w:r w:rsidR="005E1CCF" w:rsidRPr="004170D9">
        <w:rPr>
          <w:rFonts w:asciiTheme="minorHAnsi" w:hAnsiTheme="minorHAnsi" w:cstheme="minorHAnsi"/>
          <w:b/>
          <w:sz w:val="22"/>
          <w:szCs w:val="22"/>
          <w:lang w:val="en-US" w:eastAsia="en-US"/>
        </w:rPr>
        <w:t xml:space="preserve"> Branch </w:t>
      </w:r>
      <w:r w:rsidR="004275F8" w:rsidRPr="004170D9">
        <w:rPr>
          <w:rFonts w:asciiTheme="minorHAnsi" w:hAnsiTheme="minorHAnsi" w:cstheme="minorHAnsi"/>
          <w:b/>
          <w:sz w:val="22"/>
          <w:szCs w:val="22"/>
          <w:lang w:val="en-US" w:eastAsia="en-US"/>
        </w:rPr>
        <w:t xml:space="preserve">(GS </w:t>
      </w:r>
      <w:proofErr w:type="spellStart"/>
      <w:r w:rsidR="004275F8" w:rsidRPr="004170D9">
        <w:rPr>
          <w:rFonts w:asciiTheme="minorHAnsi" w:hAnsiTheme="minorHAnsi" w:cstheme="minorHAnsi"/>
          <w:b/>
          <w:sz w:val="22"/>
          <w:szCs w:val="22"/>
          <w:lang w:val="en-US" w:eastAsia="en-US"/>
        </w:rPr>
        <w:t>Facket</w:t>
      </w:r>
      <w:proofErr w:type="spellEnd"/>
      <w:r w:rsidR="004275F8" w:rsidRPr="004170D9">
        <w:rPr>
          <w:rFonts w:asciiTheme="minorHAnsi" w:hAnsiTheme="minorHAnsi" w:cstheme="minorHAnsi"/>
          <w:b/>
          <w:sz w:val="22"/>
          <w:szCs w:val="22"/>
          <w:lang w:val="en-US" w:eastAsia="en-US"/>
        </w:rPr>
        <w:t xml:space="preserve">) </w:t>
      </w:r>
      <w:r w:rsidRPr="004170D9">
        <w:rPr>
          <w:rFonts w:asciiTheme="minorHAnsi" w:hAnsiTheme="minorHAnsi" w:cstheme="minorHAnsi"/>
          <w:b/>
          <w:sz w:val="22"/>
          <w:szCs w:val="22"/>
          <w:lang w:val="en-US"/>
        </w:rPr>
        <w:t>concerning an alleged violation of the OECD Guidelines fo</w:t>
      </w:r>
      <w:r w:rsidR="004275F8" w:rsidRPr="004170D9">
        <w:rPr>
          <w:rFonts w:asciiTheme="minorHAnsi" w:hAnsiTheme="minorHAnsi" w:cstheme="minorHAnsi"/>
          <w:b/>
          <w:sz w:val="22"/>
          <w:szCs w:val="22"/>
          <w:lang w:val="en-US"/>
        </w:rPr>
        <w:t xml:space="preserve">r Multinational Enterprises by Inter </w:t>
      </w:r>
      <w:r w:rsidR="00D773A9" w:rsidRPr="004170D9">
        <w:rPr>
          <w:rFonts w:asciiTheme="minorHAnsi" w:hAnsiTheme="minorHAnsi" w:cstheme="minorHAnsi"/>
          <w:b/>
          <w:sz w:val="22"/>
          <w:szCs w:val="22"/>
          <w:lang w:val="en-US"/>
        </w:rPr>
        <w:t>IKEA</w:t>
      </w:r>
      <w:r w:rsidR="004275F8" w:rsidRPr="004170D9">
        <w:rPr>
          <w:rFonts w:asciiTheme="minorHAnsi" w:hAnsiTheme="minorHAnsi" w:cstheme="minorHAnsi"/>
          <w:b/>
          <w:sz w:val="22"/>
          <w:szCs w:val="22"/>
          <w:lang w:val="en-US"/>
        </w:rPr>
        <w:t xml:space="preserve"> Holding B.V.</w:t>
      </w:r>
      <w:r w:rsidRPr="004170D9">
        <w:rPr>
          <w:rFonts w:asciiTheme="minorHAnsi" w:hAnsiTheme="minorHAnsi" w:cstheme="minorHAnsi"/>
          <w:b/>
          <w:sz w:val="22"/>
          <w:szCs w:val="22"/>
          <w:lang w:val="en-US"/>
        </w:rPr>
        <w:t xml:space="preserve"> </w:t>
      </w:r>
    </w:p>
    <w:p w14:paraId="2A079688" w14:textId="77777777" w:rsidR="00E86BD8" w:rsidRPr="00F42930" w:rsidRDefault="00E86BD8" w:rsidP="004170D9">
      <w:pPr>
        <w:pStyle w:val="Hoofdtekst"/>
        <w:spacing w:after="480" w:line="259" w:lineRule="auto"/>
        <w:rPr>
          <w:rFonts w:asciiTheme="minorHAnsi" w:hAnsiTheme="minorHAnsi" w:cstheme="minorHAnsi"/>
          <w:b/>
          <w:sz w:val="22"/>
          <w:szCs w:val="22"/>
          <w:lang w:val="en-US"/>
        </w:rPr>
      </w:pPr>
      <w:r w:rsidRPr="00F42930">
        <w:rPr>
          <w:rFonts w:asciiTheme="minorHAnsi" w:hAnsiTheme="minorHAnsi" w:cstheme="minorHAnsi"/>
          <w:sz w:val="22"/>
          <w:szCs w:val="22"/>
          <w:lang w:val="en-US"/>
        </w:rPr>
        <w:t>The objective of the initial assessment process under the Procedural Guidance is to determine whether the issues raised in the specific instance merit further examination. If so, the NCP will offer, or facilitate access to, consensual and non-adversarial procedures, such as dialogue, mediation or conciliation (</w:t>
      </w:r>
      <w:proofErr w:type="gramStart"/>
      <w:r w:rsidRPr="00F42930">
        <w:rPr>
          <w:rFonts w:asciiTheme="minorHAnsi" w:hAnsiTheme="minorHAnsi" w:cstheme="minorHAnsi"/>
          <w:sz w:val="22"/>
          <w:szCs w:val="22"/>
          <w:lang w:val="en-US"/>
        </w:rPr>
        <w:t>e.g.</w:t>
      </w:r>
      <w:proofErr w:type="gramEnd"/>
      <w:r w:rsidRPr="00F42930">
        <w:rPr>
          <w:rFonts w:asciiTheme="minorHAnsi" w:hAnsiTheme="minorHAnsi" w:cstheme="minorHAnsi"/>
          <w:sz w:val="22"/>
          <w:szCs w:val="22"/>
          <w:lang w:val="en-US"/>
        </w:rPr>
        <w:t xml:space="preserve"> ‘good offices’) to the relevant parties. As specific instances are not legal cases and </w:t>
      </w:r>
      <w:r w:rsidRPr="00B87D73">
        <w:rPr>
          <w:rFonts w:asciiTheme="minorHAnsi" w:hAnsiTheme="minorHAnsi" w:cstheme="minorHAnsi"/>
          <w:sz w:val="22"/>
          <w:szCs w:val="22"/>
          <w:lang w:val="en-US"/>
        </w:rPr>
        <w:t>NCPs are not judicial bodies, NCPs cannot impose sanctions, directly provide compensation nor compel parties to participate in a conciliation or mediation process</w:t>
      </w:r>
      <w:r w:rsidR="006437A6" w:rsidRPr="00B87D73">
        <w:rPr>
          <w:rFonts w:asciiTheme="minorHAnsi" w:hAnsiTheme="minorHAnsi" w:cstheme="minorHAnsi"/>
          <w:sz w:val="22"/>
          <w:szCs w:val="22"/>
          <w:lang w:val="en-US"/>
        </w:rPr>
        <w:t>.</w:t>
      </w:r>
    </w:p>
    <w:sdt>
      <w:sdtPr>
        <w:rPr>
          <w:rFonts w:asciiTheme="minorHAnsi" w:eastAsia="Times New Roman" w:hAnsiTheme="minorHAnsi" w:cstheme="minorHAnsi"/>
          <w:color w:val="auto"/>
          <w:sz w:val="22"/>
          <w:szCs w:val="22"/>
        </w:rPr>
        <w:id w:val="1138693688"/>
        <w:docPartObj>
          <w:docPartGallery w:val="Table of Contents"/>
          <w:docPartUnique/>
        </w:docPartObj>
      </w:sdtPr>
      <w:sdtEndPr>
        <w:rPr>
          <w:rFonts w:eastAsiaTheme="minorHAnsi"/>
          <w:b/>
          <w:bCs/>
          <w:noProof/>
        </w:rPr>
      </w:sdtEndPr>
      <w:sdtContent>
        <w:p w14:paraId="0026A58B" w14:textId="77777777" w:rsidR="001B728A" w:rsidRPr="004170D9" w:rsidRDefault="001B728A" w:rsidP="004D68BA">
          <w:pPr>
            <w:pStyle w:val="TOCHeading"/>
            <w:contextualSpacing/>
            <w:rPr>
              <w:rFonts w:asciiTheme="minorHAnsi" w:hAnsiTheme="minorHAnsi" w:cstheme="minorHAnsi"/>
              <w:sz w:val="22"/>
              <w:szCs w:val="22"/>
            </w:rPr>
          </w:pPr>
          <w:r w:rsidRPr="004170D9">
            <w:rPr>
              <w:rFonts w:asciiTheme="minorHAnsi" w:hAnsiTheme="minorHAnsi" w:cstheme="minorHAnsi"/>
              <w:sz w:val="22"/>
              <w:szCs w:val="22"/>
            </w:rPr>
            <w:t>Table of Contents</w:t>
          </w:r>
        </w:p>
        <w:p w14:paraId="4501BCED" w14:textId="61952D0B" w:rsidR="00BB2B41" w:rsidRDefault="001B728A">
          <w:pPr>
            <w:pStyle w:val="TOC1"/>
            <w:tabs>
              <w:tab w:val="left" w:pos="440"/>
              <w:tab w:val="right" w:leader="dot" w:pos="9016"/>
            </w:tabs>
            <w:rPr>
              <w:rFonts w:asciiTheme="minorHAnsi" w:eastAsiaTheme="minorEastAsia" w:hAnsiTheme="minorHAnsi" w:cstheme="minorBidi"/>
              <w:noProof/>
              <w:sz w:val="22"/>
              <w:szCs w:val="22"/>
              <w:lang w:val="nl-NL" w:eastAsia="nl-NL"/>
            </w:rPr>
          </w:pPr>
          <w:r w:rsidRPr="004170D9">
            <w:rPr>
              <w:rFonts w:asciiTheme="minorHAnsi" w:hAnsiTheme="minorHAnsi" w:cstheme="minorHAnsi"/>
              <w:sz w:val="22"/>
              <w:szCs w:val="22"/>
            </w:rPr>
            <w:fldChar w:fldCharType="begin"/>
          </w:r>
          <w:r w:rsidRPr="004170D9">
            <w:rPr>
              <w:rFonts w:asciiTheme="minorHAnsi" w:hAnsiTheme="minorHAnsi" w:cstheme="minorHAnsi"/>
              <w:sz w:val="22"/>
              <w:szCs w:val="22"/>
            </w:rPr>
            <w:instrText xml:space="preserve"> TOC \o "1-3" \h \z \u </w:instrText>
          </w:r>
          <w:r w:rsidRPr="004170D9">
            <w:rPr>
              <w:rFonts w:asciiTheme="minorHAnsi" w:hAnsiTheme="minorHAnsi" w:cstheme="minorHAnsi"/>
              <w:sz w:val="22"/>
              <w:szCs w:val="22"/>
            </w:rPr>
            <w:fldChar w:fldCharType="separate"/>
          </w:r>
          <w:hyperlink w:anchor="_Toc84860553" w:history="1">
            <w:r w:rsidR="00BB2B41" w:rsidRPr="00224DEF">
              <w:rPr>
                <w:rStyle w:val="Hyperlink"/>
                <w:rFonts w:cstheme="minorHAnsi"/>
                <w:noProof/>
              </w:rPr>
              <w:t>1.</w:t>
            </w:r>
            <w:r w:rsidR="00BB2B41">
              <w:rPr>
                <w:rFonts w:asciiTheme="minorHAnsi" w:eastAsiaTheme="minorEastAsia" w:hAnsiTheme="minorHAnsi" w:cstheme="minorBidi"/>
                <w:noProof/>
                <w:sz w:val="22"/>
                <w:szCs w:val="22"/>
                <w:lang w:val="nl-NL" w:eastAsia="nl-NL"/>
              </w:rPr>
              <w:tab/>
            </w:r>
            <w:r w:rsidR="00BB2B41" w:rsidRPr="00224DEF">
              <w:rPr>
                <w:rStyle w:val="Hyperlink"/>
                <w:rFonts w:cstheme="minorHAnsi"/>
                <w:noProof/>
              </w:rPr>
              <w:t>Executive summary</w:t>
            </w:r>
            <w:r w:rsidR="00BB2B41">
              <w:rPr>
                <w:noProof/>
                <w:webHidden/>
              </w:rPr>
              <w:tab/>
            </w:r>
            <w:r w:rsidR="00BB2B41">
              <w:rPr>
                <w:noProof/>
                <w:webHidden/>
              </w:rPr>
              <w:fldChar w:fldCharType="begin"/>
            </w:r>
            <w:r w:rsidR="00BB2B41">
              <w:rPr>
                <w:noProof/>
                <w:webHidden/>
              </w:rPr>
              <w:instrText xml:space="preserve"> PAGEREF _Toc84860553 \h </w:instrText>
            </w:r>
            <w:r w:rsidR="00BB2B41">
              <w:rPr>
                <w:noProof/>
                <w:webHidden/>
              </w:rPr>
            </w:r>
            <w:r w:rsidR="00BB2B41">
              <w:rPr>
                <w:noProof/>
                <w:webHidden/>
              </w:rPr>
              <w:fldChar w:fldCharType="separate"/>
            </w:r>
            <w:r w:rsidR="00BB2B41">
              <w:rPr>
                <w:noProof/>
                <w:webHidden/>
              </w:rPr>
              <w:t>1</w:t>
            </w:r>
            <w:r w:rsidR="00BB2B41">
              <w:rPr>
                <w:noProof/>
                <w:webHidden/>
              </w:rPr>
              <w:fldChar w:fldCharType="end"/>
            </w:r>
          </w:hyperlink>
        </w:p>
        <w:p w14:paraId="6EB9B76C" w14:textId="310523BA" w:rsidR="00BB2B41" w:rsidRDefault="00944B2E">
          <w:pPr>
            <w:pStyle w:val="TOC1"/>
            <w:tabs>
              <w:tab w:val="left" w:pos="440"/>
              <w:tab w:val="right" w:leader="dot" w:pos="9016"/>
            </w:tabs>
            <w:rPr>
              <w:rFonts w:asciiTheme="minorHAnsi" w:eastAsiaTheme="minorEastAsia" w:hAnsiTheme="minorHAnsi" w:cstheme="minorBidi"/>
              <w:noProof/>
              <w:sz w:val="22"/>
              <w:szCs w:val="22"/>
              <w:lang w:val="nl-NL" w:eastAsia="nl-NL"/>
            </w:rPr>
          </w:pPr>
          <w:hyperlink w:anchor="_Toc84860554" w:history="1">
            <w:r w:rsidR="00BB2B41" w:rsidRPr="00224DEF">
              <w:rPr>
                <w:rStyle w:val="Hyperlink"/>
                <w:rFonts w:cstheme="minorHAnsi"/>
                <w:noProof/>
              </w:rPr>
              <w:t>2.</w:t>
            </w:r>
            <w:r w:rsidR="00BB2B41">
              <w:rPr>
                <w:rFonts w:asciiTheme="minorHAnsi" w:eastAsiaTheme="minorEastAsia" w:hAnsiTheme="minorHAnsi" w:cstheme="minorBidi"/>
                <w:noProof/>
                <w:sz w:val="22"/>
                <w:szCs w:val="22"/>
                <w:lang w:val="nl-NL" w:eastAsia="nl-NL"/>
              </w:rPr>
              <w:tab/>
            </w:r>
            <w:r w:rsidR="00BB2B41" w:rsidRPr="00224DEF">
              <w:rPr>
                <w:rStyle w:val="Hyperlink"/>
                <w:rFonts w:cstheme="minorHAnsi"/>
                <w:noProof/>
              </w:rPr>
              <w:t>Substance of the submission</w:t>
            </w:r>
            <w:r w:rsidR="00BB2B41">
              <w:rPr>
                <w:noProof/>
                <w:webHidden/>
              </w:rPr>
              <w:tab/>
            </w:r>
            <w:r w:rsidR="00BB2B41">
              <w:rPr>
                <w:noProof/>
                <w:webHidden/>
              </w:rPr>
              <w:fldChar w:fldCharType="begin"/>
            </w:r>
            <w:r w:rsidR="00BB2B41">
              <w:rPr>
                <w:noProof/>
                <w:webHidden/>
              </w:rPr>
              <w:instrText xml:space="preserve"> PAGEREF _Toc84860554 \h </w:instrText>
            </w:r>
            <w:r w:rsidR="00BB2B41">
              <w:rPr>
                <w:noProof/>
                <w:webHidden/>
              </w:rPr>
            </w:r>
            <w:r w:rsidR="00BB2B41">
              <w:rPr>
                <w:noProof/>
                <w:webHidden/>
              </w:rPr>
              <w:fldChar w:fldCharType="separate"/>
            </w:r>
            <w:r w:rsidR="00BB2B41">
              <w:rPr>
                <w:noProof/>
                <w:webHidden/>
              </w:rPr>
              <w:t>3</w:t>
            </w:r>
            <w:r w:rsidR="00BB2B41">
              <w:rPr>
                <w:noProof/>
                <w:webHidden/>
              </w:rPr>
              <w:fldChar w:fldCharType="end"/>
            </w:r>
          </w:hyperlink>
        </w:p>
        <w:p w14:paraId="65BE9694" w14:textId="67F6FC7E" w:rsidR="00BB2B41" w:rsidRDefault="00944B2E">
          <w:pPr>
            <w:pStyle w:val="TOC1"/>
            <w:tabs>
              <w:tab w:val="left" w:pos="440"/>
              <w:tab w:val="right" w:leader="dot" w:pos="9016"/>
            </w:tabs>
            <w:rPr>
              <w:rFonts w:asciiTheme="minorHAnsi" w:eastAsiaTheme="minorEastAsia" w:hAnsiTheme="minorHAnsi" w:cstheme="minorBidi"/>
              <w:noProof/>
              <w:sz w:val="22"/>
              <w:szCs w:val="22"/>
              <w:lang w:val="nl-NL" w:eastAsia="nl-NL"/>
            </w:rPr>
          </w:pPr>
          <w:hyperlink w:anchor="_Toc84860555" w:history="1">
            <w:r w:rsidR="00BB2B41" w:rsidRPr="00224DEF">
              <w:rPr>
                <w:rStyle w:val="Hyperlink"/>
                <w:rFonts w:cstheme="minorHAnsi"/>
                <w:noProof/>
              </w:rPr>
              <w:t>3.</w:t>
            </w:r>
            <w:r w:rsidR="00BB2B41">
              <w:rPr>
                <w:rFonts w:asciiTheme="minorHAnsi" w:eastAsiaTheme="minorEastAsia" w:hAnsiTheme="minorHAnsi" w:cstheme="minorBidi"/>
                <w:noProof/>
                <w:sz w:val="22"/>
                <w:szCs w:val="22"/>
                <w:lang w:val="nl-NL" w:eastAsia="nl-NL"/>
              </w:rPr>
              <w:tab/>
            </w:r>
            <w:r w:rsidR="00BB2B41" w:rsidRPr="00224DEF">
              <w:rPr>
                <w:rStyle w:val="Hyperlink"/>
                <w:rFonts w:cstheme="minorHAnsi"/>
                <w:noProof/>
              </w:rPr>
              <w:t>The proceedings of the NCP to date</w:t>
            </w:r>
            <w:r w:rsidR="00BB2B41">
              <w:rPr>
                <w:noProof/>
                <w:webHidden/>
              </w:rPr>
              <w:tab/>
            </w:r>
            <w:r w:rsidR="00BB2B41">
              <w:rPr>
                <w:noProof/>
                <w:webHidden/>
              </w:rPr>
              <w:fldChar w:fldCharType="begin"/>
            </w:r>
            <w:r w:rsidR="00BB2B41">
              <w:rPr>
                <w:noProof/>
                <w:webHidden/>
              </w:rPr>
              <w:instrText xml:space="preserve"> PAGEREF _Toc84860555 \h </w:instrText>
            </w:r>
            <w:r w:rsidR="00BB2B41">
              <w:rPr>
                <w:noProof/>
                <w:webHidden/>
              </w:rPr>
            </w:r>
            <w:r w:rsidR="00BB2B41">
              <w:rPr>
                <w:noProof/>
                <w:webHidden/>
              </w:rPr>
              <w:fldChar w:fldCharType="separate"/>
            </w:r>
            <w:r w:rsidR="00BB2B41">
              <w:rPr>
                <w:noProof/>
                <w:webHidden/>
              </w:rPr>
              <w:t>5</w:t>
            </w:r>
            <w:r w:rsidR="00BB2B41">
              <w:rPr>
                <w:noProof/>
                <w:webHidden/>
              </w:rPr>
              <w:fldChar w:fldCharType="end"/>
            </w:r>
          </w:hyperlink>
        </w:p>
        <w:p w14:paraId="5BA39EC7" w14:textId="2C4EE69A" w:rsidR="00BB2B41" w:rsidRDefault="00944B2E">
          <w:pPr>
            <w:pStyle w:val="TOC1"/>
            <w:tabs>
              <w:tab w:val="left" w:pos="440"/>
              <w:tab w:val="right" w:leader="dot" w:pos="9016"/>
            </w:tabs>
            <w:rPr>
              <w:rFonts w:asciiTheme="minorHAnsi" w:eastAsiaTheme="minorEastAsia" w:hAnsiTheme="minorHAnsi" w:cstheme="minorBidi"/>
              <w:noProof/>
              <w:sz w:val="22"/>
              <w:szCs w:val="22"/>
              <w:lang w:val="nl-NL" w:eastAsia="nl-NL"/>
            </w:rPr>
          </w:pPr>
          <w:hyperlink w:anchor="_Toc84860556" w:history="1">
            <w:r w:rsidR="00BB2B41" w:rsidRPr="00224DEF">
              <w:rPr>
                <w:rStyle w:val="Hyperlink"/>
                <w:rFonts w:cstheme="minorHAnsi"/>
                <w:noProof/>
              </w:rPr>
              <w:t>4.</w:t>
            </w:r>
            <w:r w:rsidR="00BB2B41">
              <w:rPr>
                <w:rFonts w:asciiTheme="minorHAnsi" w:eastAsiaTheme="minorEastAsia" w:hAnsiTheme="minorHAnsi" w:cstheme="minorBidi"/>
                <w:noProof/>
                <w:sz w:val="22"/>
                <w:szCs w:val="22"/>
                <w:lang w:val="nl-NL" w:eastAsia="nl-NL"/>
              </w:rPr>
              <w:tab/>
            </w:r>
            <w:r w:rsidR="00BB2B41" w:rsidRPr="00224DEF">
              <w:rPr>
                <w:rStyle w:val="Hyperlink"/>
                <w:rFonts w:cstheme="minorHAnsi"/>
                <w:noProof/>
              </w:rPr>
              <w:t>Initial assessment by the NCP</w:t>
            </w:r>
            <w:r w:rsidR="00BB2B41">
              <w:rPr>
                <w:noProof/>
                <w:webHidden/>
              </w:rPr>
              <w:tab/>
            </w:r>
            <w:r w:rsidR="00BB2B41">
              <w:rPr>
                <w:noProof/>
                <w:webHidden/>
              </w:rPr>
              <w:fldChar w:fldCharType="begin"/>
            </w:r>
            <w:r w:rsidR="00BB2B41">
              <w:rPr>
                <w:noProof/>
                <w:webHidden/>
              </w:rPr>
              <w:instrText xml:space="preserve"> PAGEREF _Toc84860556 \h </w:instrText>
            </w:r>
            <w:r w:rsidR="00BB2B41">
              <w:rPr>
                <w:noProof/>
                <w:webHidden/>
              </w:rPr>
            </w:r>
            <w:r w:rsidR="00BB2B41">
              <w:rPr>
                <w:noProof/>
                <w:webHidden/>
              </w:rPr>
              <w:fldChar w:fldCharType="separate"/>
            </w:r>
            <w:r w:rsidR="00BB2B41">
              <w:rPr>
                <w:noProof/>
                <w:webHidden/>
              </w:rPr>
              <w:t>6</w:t>
            </w:r>
            <w:r w:rsidR="00BB2B41">
              <w:rPr>
                <w:noProof/>
                <w:webHidden/>
              </w:rPr>
              <w:fldChar w:fldCharType="end"/>
            </w:r>
          </w:hyperlink>
        </w:p>
        <w:p w14:paraId="2F0F3187" w14:textId="6D0D4362" w:rsidR="00BB2B41" w:rsidRDefault="00944B2E">
          <w:pPr>
            <w:pStyle w:val="TOC1"/>
            <w:tabs>
              <w:tab w:val="left" w:pos="440"/>
              <w:tab w:val="right" w:leader="dot" w:pos="9016"/>
            </w:tabs>
            <w:rPr>
              <w:rFonts w:asciiTheme="minorHAnsi" w:eastAsiaTheme="minorEastAsia" w:hAnsiTheme="minorHAnsi" w:cstheme="minorBidi"/>
              <w:noProof/>
              <w:sz w:val="22"/>
              <w:szCs w:val="22"/>
              <w:lang w:val="nl-NL" w:eastAsia="nl-NL"/>
            </w:rPr>
          </w:pPr>
          <w:hyperlink w:anchor="_Toc84860557" w:history="1">
            <w:r w:rsidR="00BB2B41" w:rsidRPr="00224DEF">
              <w:rPr>
                <w:rStyle w:val="Hyperlink"/>
                <w:rFonts w:cstheme="minorHAnsi"/>
                <w:noProof/>
              </w:rPr>
              <w:t>5.</w:t>
            </w:r>
            <w:r w:rsidR="00BB2B41">
              <w:rPr>
                <w:rFonts w:asciiTheme="minorHAnsi" w:eastAsiaTheme="minorEastAsia" w:hAnsiTheme="minorHAnsi" w:cstheme="minorBidi"/>
                <w:noProof/>
                <w:sz w:val="22"/>
                <w:szCs w:val="22"/>
                <w:lang w:val="nl-NL" w:eastAsia="nl-NL"/>
              </w:rPr>
              <w:tab/>
            </w:r>
            <w:r w:rsidR="00BB2B41" w:rsidRPr="00224DEF">
              <w:rPr>
                <w:rStyle w:val="Hyperlink"/>
                <w:rFonts w:cstheme="minorHAnsi"/>
                <w:noProof/>
              </w:rPr>
              <w:t>Conclusion</w:t>
            </w:r>
            <w:r w:rsidR="00BB2B41">
              <w:rPr>
                <w:noProof/>
                <w:webHidden/>
              </w:rPr>
              <w:tab/>
            </w:r>
            <w:r w:rsidR="00BB2B41">
              <w:rPr>
                <w:noProof/>
                <w:webHidden/>
              </w:rPr>
              <w:fldChar w:fldCharType="begin"/>
            </w:r>
            <w:r w:rsidR="00BB2B41">
              <w:rPr>
                <w:noProof/>
                <w:webHidden/>
              </w:rPr>
              <w:instrText xml:space="preserve"> PAGEREF _Toc84860557 \h </w:instrText>
            </w:r>
            <w:r w:rsidR="00BB2B41">
              <w:rPr>
                <w:noProof/>
                <w:webHidden/>
              </w:rPr>
            </w:r>
            <w:r w:rsidR="00BB2B41">
              <w:rPr>
                <w:noProof/>
                <w:webHidden/>
              </w:rPr>
              <w:fldChar w:fldCharType="separate"/>
            </w:r>
            <w:r w:rsidR="00BB2B41">
              <w:rPr>
                <w:noProof/>
                <w:webHidden/>
              </w:rPr>
              <w:t>7</w:t>
            </w:r>
            <w:r w:rsidR="00BB2B41">
              <w:rPr>
                <w:noProof/>
                <w:webHidden/>
              </w:rPr>
              <w:fldChar w:fldCharType="end"/>
            </w:r>
          </w:hyperlink>
        </w:p>
        <w:p w14:paraId="74EBDDD5" w14:textId="74FE36A2" w:rsidR="00BB2B41" w:rsidRDefault="00944B2E">
          <w:pPr>
            <w:pStyle w:val="TOC1"/>
            <w:tabs>
              <w:tab w:val="left" w:pos="440"/>
              <w:tab w:val="right" w:leader="dot" w:pos="9016"/>
            </w:tabs>
            <w:rPr>
              <w:rFonts w:asciiTheme="minorHAnsi" w:eastAsiaTheme="minorEastAsia" w:hAnsiTheme="minorHAnsi" w:cstheme="minorBidi"/>
              <w:noProof/>
              <w:sz w:val="22"/>
              <w:szCs w:val="22"/>
              <w:lang w:val="nl-NL" w:eastAsia="nl-NL"/>
            </w:rPr>
          </w:pPr>
          <w:hyperlink w:anchor="_Toc84860558" w:history="1">
            <w:r w:rsidR="00BB2B41" w:rsidRPr="00224DEF">
              <w:rPr>
                <w:rStyle w:val="Hyperlink"/>
                <w:rFonts w:cstheme="minorHAnsi"/>
                <w:noProof/>
              </w:rPr>
              <w:t>6.</w:t>
            </w:r>
            <w:r w:rsidR="00BB2B41">
              <w:rPr>
                <w:rFonts w:asciiTheme="minorHAnsi" w:eastAsiaTheme="minorEastAsia" w:hAnsiTheme="minorHAnsi" w:cstheme="minorBidi"/>
                <w:noProof/>
                <w:sz w:val="22"/>
                <w:szCs w:val="22"/>
                <w:lang w:val="nl-NL" w:eastAsia="nl-NL"/>
              </w:rPr>
              <w:tab/>
            </w:r>
            <w:r w:rsidR="00BB2B41" w:rsidRPr="00224DEF">
              <w:rPr>
                <w:rStyle w:val="Hyperlink"/>
                <w:rFonts w:cstheme="minorHAnsi"/>
                <w:noProof/>
              </w:rPr>
              <w:t>Next steps</w:t>
            </w:r>
            <w:r w:rsidR="00BB2B41">
              <w:rPr>
                <w:noProof/>
                <w:webHidden/>
              </w:rPr>
              <w:tab/>
            </w:r>
            <w:r w:rsidR="00BB2B41">
              <w:rPr>
                <w:noProof/>
                <w:webHidden/>
              </w:rPr>
              <w:fldChar w:fldCharType="begin"/>
            </w:r>
            <w:r w:rsidR="00BB2B41">
              <w:rPr>
                <w:noProof/>
                <w:webHidden/>
              </w:rPr>
              <w:instrText xml:space="preserve"> PAGEREF _Toc84860558 \h </w:instrText>
            </w:r>
            <w:r w:rsidR="00BB2B41">
              <w:rPr>
                <w:noProof/>
                <w:webHidden/>
              </w:rPr>
            </w:r>
            <w:r w:rsidR="00BB2B41">
              <w:rPr>
                <w:noProof/>
                <w:webHidden/>
              </w:rPr>
              <w:fldChar w:fldCharType="separate"/>
            </w:r>
            <w:r w:rsidR="00BB2B41">
              <w:rPr>
                <w:noProof/>
                <w:webHidden/>
              </w:rPr>
              <w:t>8</w:t>
            </w:r>
            <w:r w:rsidR="00BB2B41">
              <w:rPr>
                <w:noProof/>
                <w:webHidden/>
              </w:rPr>
              <w:fldChar w:fldCharType="end"/>
            </w:r>
          </w:hyperlink>
        </w:p>
        <w:p w14:paraId="624EB0A5" w14:textId="7A164FD6" w:rsidR="001B728A" w:rsidRPr="00FD4A30" w:rsidRDefault="001B728A" w:rsidP="004D68BA">
          <w:pPr>
            <w:spacing w:before="240" w:after="0"/>
            <w:contextualSpacing/>
            <w:rPr>
              <w:rFonts w:cstheme="minorHAnsi"/>
            </w:rPr>
          </w:pPr>
          <w:r w:rsidRPr="004170D9">
            <w:rPr>
              <w:rFonts w:cstheme="minorHAnsi"/>
              <w:b/>
              <w:bCs/>
              <w:noProof/>
            </w:rPr>
            <w:fldChar w:fldCharType="end"/>
          </w:r>
        </w:p>
      </w:sdtContent>
    </w:sdt>
    <w:p w14:paraId="05B4A282" w14:textId="77777777" w:rsidR="00BB2B41" w:rsidRDefault="00BB2B41">
      <w:pPr>
        <w:rPr>
          <w:rFonts w:eastAsiaTheme="majorEastAsia" w:cstheme="minorHAnsi"/>
          <w:color w:val="2E74B5" w:themeColor="accent1" w:themeShade="BF"/>
          <w:sz w:val="28"/>
          <w:szCs w:val="28"/>
        </w:rPr>
      </w:pPr>
      <w:bookmarkStart w:id="0" w:name="_Toc84860553"/>
      <w:r>
        <w:rPr>
          <w:rFonts w:cstheme="minorHAnsi"/>
          <w:sz w:val="28"/>
          <w:szCs w:val="28"/>
        </w:rPr>
        <w:br w:type="page"/>
      </w:r>
    </w:p>
    <w:p w14:paraId="7FDB8640" w14:textId="6BD2813B" w:rsidR="001B728A" w:rsidRPr="00FD4A30" w:rsidRDefault="00E86BD8" w:rsidP="00BB2B41">
      <w:pPr>
        <w:pStyle w:val="Heading1"/>
        <w:numPr>
          <w:ilvl w:val="0"/>
          <w:numId w:val="3"/>
        </w:numPr>
        <w:spacing w:before="0" w:line="259" w:lineRule="auto"/>
        <w:ind w:left="357" w:hanging="357"/>
        <w:rPr>
          <w:rFonts w:asciiTheme="minorHAnsi" w:hAnsiTheme="minorHAnsi" w:cstheme="minorHAnsi"/>
          <w:sz w:val="28"/>
          <w:szCs w:val="28"/>
        </w:rPr>
      </w:pPr>
      <w:r>
        <w:rPr>
          <w:rFonts w:asciiTheme="minorHAnsi" w:hAnsiTheme="minorHAnsi" w:cstheme="minorHAnsi"/>
          <w:sz w:val="28"/>
          <w:szCs w:val="28"/>
        </w:rPr>
        <w:lastRenderedPageBreak/>
        <w:t>Executive s</w:t>
      </w:r>
      <w:r w:rsidR="00C11B7C" w:rsidRPr="00FD4A30">
        <w:rPr>
          <w:rFonts w:asciiTheme="minorHAnsi" w:hAnsiTheme="minorHAnsi" w:cstheme="minorHAnsi"/>
          <w:sz w:val="28"/>
          <w:szCs w:val="28"/>
        </w:rPr>
        <w:t>ummary</w:t>
      </w:r>
      <w:bookmarkEnd w:id="0"/>
      <w:r w:rsidR="00C11B7C" w:rsidRPr="00FD4A30">
        <w:rPr>
          <w:rFonts w:asciiTheme="minorHAnsi" w:hAnsiTheme="minorHAnsi" w:cstheme="minorHAnsi"/>
          <w:sz w:val="28"/>
          <w:szCs w:val="28"/>
        </w:rPr>
        <w:t xml:space="preserve"> </w:t>
      </w:r>
    </w:p>
    <w:p w14:paraId="23BA3D10" w14:textId="54B385B4" w:rsidR="002B334C" w:rsidRDefault="00227B55" w:rsidP="004170D9">
      <w:pPr>
        <w:spacing w:after="240"/>
      </w:pPr>
      <w:r>
        <w:t>On 24 December, 2020 the Dutch National Contact Point for the OECD Guidelines for Multinational Enterprises (NCP) received a notification of a specific instance from the Building and Wood Workers International (BWI</w:t>
      </w:r>
      <w:r w:rsidR="00D94707">
        <w:t>)</w:t>
      </w:r>
      <w:r>
        <w:t xml:space="preserve">, the International Association of Machinists and Aerospace Workers of North America (IAMAW) and </w:t>
      </w:r>
      <w:r w:rsidRPr="00BB2B41">
        <w:rPr>
          <w:lang w:val="sv-SE"/>
        </w:rPr>
        <w:t xml:space="preserve">Facket För Skogs-, Trä och Grafisk </w:t>
      </w:r>
      <w:r w:rsidRPr="00BB2B41">
        <w:t>Branch</w:t>
      </w:r>
      <w:r w:rsidRPr="00BB2B41">
        <w:rPr>
          <w:lang w:val="sv-SE"/>
        </w:rPr>
        <w:t xml:space="preserve"> (GS Facket)</w:t>
      </w:r>
      <w:r>
        <w:t xml:space="preserve"> </w:t>
      </w:r>
      <w:proofErr w:type="gramStart"/>
      <w:r>
        <w:t>with regard to</w:t>
      </w:r>
      <w:proofErr w:type="gramEnd"/>
      <w:r>
        <w:t xml:space="preserve"> an alleged </w:t>
      </w:r>
      <w:r w:rsidR="00C43A25">
        <w:t>non-observance</w:t>
      </w:r>
      <w:r>
        <w:t xml:space="preserve"> of the OECD Guidelines for Multinational Enterprises (hereinafter</w:t>
      </w:r>
      <w:r w:rsidR="00EE5A5E">
        <w:t>:</w:t>
      </w:r>
      <w:r>
        <w:t xml:space="preserve"> the Guidelines) by </w:t>
      </w:r>
      <w:r w:rsidR="00D94707">
        <w:t xml:space="preserve">Inter </w:t>
      </w:r>
      <w:r w:rsidR="00D773A9">
        <w:t>IKEA</w:t>
      </w:r>
      <w:r w:rsidR="00D94707">
        <w:t xml:space="preserve"> </w:t>
      </w:r>
      <w:r w:rsidR="00EE5A5E">
        <w:t xml:space="preserve">Holding </w:t>
      </w:r>
      <w:r w:rsidR="00D94707">
        <w:t>B.V</w:t>
      </w:r>
      <w:r>
        <w:t>.</w:t>
      </w:r>
      <w:r w:rsidR="00EE5A5E">
        <w:t xml:space="preserve"> (hereinafter: Inter </w:t>
      </w:r>
      <w:r w:rsidR="00D773A9">
        <w:t>IKEA</w:t>
      </w:r>
      <w:r w:rsidR="00EE5A5E">
        <w:t>).</w:t>
      </w:r>
    </w:p>
    <w:p w14:paraId="6D6F1735" w14:textId="4C392AEF" w:rsidR="003266AD" w:rsidRPr="008B669D" w:rsidRDefault="00856CB0" w:rsidP="004170D9">
      <w:pPr>
        <w:spacing w:after="240"/>
        <w:rPr>
          <w:rFonts w:cstheme="minorHAnsi"/>
        </w:rPr>
      </w:pPr>
      <w:r w:rsidRPr="00E22AB2">
        <w:rPr>
          <w:rFonts w:cstheme="minorHAnsi"/>
        </w:rPr>
        <w:t xml:space="preserve">The issues raised </w:t>
      </w:r>
      <w:r w:rsidR="00C43A25">
        <w:rPr>
          <w:rFonts w:cstheme="minorHAnsi"/>
        </w:rPr>
        <w:t xml:space="preserve">by the notifying parties are </w:t>
      </w:r>
      <w:r w:rsidR="00B91A8C" w:rsidRPr="00E22AB2">
        <w:rPr>
          <w:rFonts w:cstheme="minorHAnsi"/>
        </w:rPr>
        <w:t>twofold and</w:t>
      </w:r>
      <w:r w:rsidR="00386F10" w:rsidRPr="00E22AB2">
        <w:rPr>
          <w:rFonts w:cstheme="minorHAnsi"/>
        </w:rPr>
        <w:t xml:space="preserve"> </w:t>
      </w:r>
      <w:r w:rsidR="00C43A25">
        <w:rPr>
          <w:rFonts w:cstheme="minorHAnsi"/>
        </w:rPr>
        <w:t xml:space="preserve">concern </w:t>
      </w:r>
      <w:r w:rsidR="00B91A8C" w:rsidRPr="00E22AB2">
        <w:rPr>
          <w:rFonts w:cstheme="minorHAnsi"/>
        </w:rPr>
        <w:t xml:space="preserve">1) </w:t>
      </w:r>
      <w:r w:rsidR="00F7100A" w:rsidRPr="00E22AB2">
        <w:rPr>
          <w:rFonts w:cstheme="minorHAnsi"/>
        </w:rPr>
        <w:t>lack of</w:t>
      </w:r>
      <w:r w:rsidR="005C3D55" w:rsidRPr="00E22AB2">
        <w:rPr>
          <w:rFonts w:cstheme="minorHAnsi"/>
        </w:rPr>
        <w:t xml:space="preserve"> timely information and</w:t>
      </w:r>
      <w:r w:rsidR="00F7100A" w:rsidRPr="00E22AB2">
        <w:rPr>
          <w:rFonts w:cstheme="minorHAnsi"/>
        </w:rPr>
        <w:t xml:space="preserve"> </w:t>
      </w:r>
      <w:r w:rsidR="005C3D55" w:rsidRPr="00E22AB2">
        <w:rPr>
          <w:rFonts w:cstheme="minorHAnsi"/>
        </w:rPr>
        <w:t xml:space="preserve">lack of </w:t>
      </w:r>
      <w:r w:rsidR="002279F2" w:rsidRPr="00E22AB2">
        <w:rPr>
          <w:rFonts w:cstheme="minorHAnsi"/>
        </w:rPr>
        <w:t>prior consultations</w:t>
      </w:r>
      <w:r w:rsidR="00F7100A" w:rsidRPr="00E22AB2">
        <w:rPr>
          <w:rFonts w:cstheme="minorHAnsi"/>
        </w:rPr>
        <w:t xml:space="preserve"> </w:t>
      </w:r>
      <w:r w:rsidR="002279F2" w:rsidRPr="00E22AB2">
        <w:rPr>
          <w:rFonts w:cstheme="minorHAnsi"/>
        </w:rPr>
        <w:t xml:space="preserve">and discussions with the </w:t>
      </w:r>
      <w:r w:rsidR="005C3D55" w:rsidRPr="00E22AB2">
        <w:rPr>
          <w:rFonts w:cstheme="minorHAnsi"/>
        </w:rPr>
        <w:t xml:space="preserve">trade </w:t>
      </w:r>
      <w:r w:rsidR="002279F2" w:rsidRPr="00E22AB2">
        <w:rPr>
          <w:rFonts w:cstheme="minorHAnsi"/>
        </w:rPr>
        <w:t xml:space="preserve">unions </w:t>
      </w:r>
      <w:proofErr w:type="gramStart"/>
      <w:r w:rsidR="002279F2" w:rsidRPr="00E22AB2">
        <w:rPr>
          <w:rFonts w:cstheme="minorHAnsi"/>
        </w:rPr>
        <w:t>wi</w:t>
      </w:r>
      <w:r w:rsidR="00F7100A" w:rsidRPr="00E22AB2">
        <w:rPr>
          <w:rFonts w:cstheme="minorHAnsi"/>
        </w:rPr>
        <w:t>th regard to</w:t>
      </w:r>
      <w:proofErr w:type="gramEnd"/>
      <w:r w:rsidR="00F7100A" w:rsidRPr="00E22AB2">
        <w:rPr>
          <w:rFonts w:cstheme="minorHAnsi"/>
        </w:rPr>
        <w:t xml:space="preserve"> the closure of an </w:t>
      </w:r>
      <w:r w:rsidR="00D773A9" w:rsidRPr="00E22AB2">
        <w:rPr>
          <w:rFonts w:cstheme="minorHAnsi"/>
        </w:rPr>
        <w:t>IKEA</w:t>
      </w:r>
      <w:r w:rsidR="00F7100A" w:rsidRPr="00E22AB2">
        <w:rPr>
          <w:rFonts w:cstheme="minorHAnsi"/>
        </w:rPr>
        <w:t xml:space="preserve"> facility in the United States</w:t>
      </w:r>
      <w:r w:rsidR="00C4616D" w:rsidRPr="00E22AB2">
        <w:rPr>
          <w:rFonts w:cstheme="minorHAnsi"/>
        </w:rPr>
        <w:t>,</w:t>
      </w:r>
      <w:r w:rsidR="00B91A8C" w:rsidRPr="00E22AB2">
        <w:rPr>
          <w:rFonts w:cstheme="minorHAnsi"/>
        </w:rPr>
        <w:t xml:space="preserve"> and </w:t>
      </w:r>
      <w:r w:rsidR="00B91A8C" w:rsidRPr="00885B79">
        <w:rPr>
          <w:rFonts w:cstheme="minorHAnsi"/>
        </w:rPr>
        <w:t xml:space="preserve">2) </w:t>
      </w:r>
      <w:r w:rsidR="00C4616D" w:rsidRPr="00885B79">
        <w:rPr>
          <w:rFonts w:cstheme="minorHAnsi"/>
        </w:rPr>
        <w:t>lack of a meaningful engagement with regard to the International Framework Agreement</w:t>
      </w:r>
      <w:r w:rsidR="00C43A25">
        <w:rPr>
          <w:rFonts w:cstheme="minorHAnsi"/>
        </w:rPr>
        <w:t>, that according to the notifying parties exists between the parties</w:t>
      </w:r>
      <w:r w:rsidR="00F7100A" w:rsidRPr="00885B79">
        <w:rPr>
          <w:rFonts w:cstheme="minorHAnsi"/>
        </w:rPr>
        <w:t xml:space="preserve">. </w:t>
      </w:r>
      <w:r w:rsidRPr="008B669D">
        <w:rPr>
          <w:rFonts w:cstheme="minorHAnsi"/>
        </w:rPr>
        <w:t>The issues raised in this submission relate to</w:t>
      </w:r>
      <w:r w:rsidR="003266AD" w:rsidRPr="008B669D">
        <w:rPr>
          <w:rFonts w:cstheme="minorHAnsi"/>
        </w:rPr>
        <w:t xml:space="preserve"> </w:t>
      </w:r>
      <w:r w:rsidR="003266AD" w:rsidRPr="002B1B28">
        <w:rPr>
          <w:rFonts w:cstheme="minorHAnsi"/>
        </w:rPr>
        <w:t>the OECD Guidelines Chapter V</w:t>
      </w:r>
      <w:r w:rsidR="003266AD" w:rsidRPr="008B669D">
        <w:rPr>
          <w:rFonts w:cstheme="minorHAnsi"/>
        </w:rPr>
        <w:t xml:space="preserve"> </w:t>
      </w:r>
      <w:r w:rsidRPr="008B669D">
        <w:rPr>
          <w:rFonts w:cstheme="minorHAnsi"/>
        </w:rPr>
        <w:t>Employment and Industrial Relations</w:t>
      </w:r>
      <w:r w:rsidR="003266AD" w:rsidRPr="008B669D">
        <w:rPr>
          <w:rFonts w:cstheme="minorHAnsi"/>
        </w:rPr>
        <w:t>, para 2</w:t>
      </w:r>
      <w:r w:rsidR="00A961BA" w:rsidRPr="008B669D">
        <w:rPr>
          <w:rFonts w:cstheme="minorHAnsi"/>
        </w:rPr>
        <w:t>c</w:t>
      </w:r>
      <w:r w:rsidR="003266AD" w:rsidRPr="008B669D">
        <w:rPr>
          <w:rFonts w:cstheme="minorHAnsi"/>
        </w:rPr>
        <w:t xml:space="preserve"> and 6</w:t>
      </w:r>
      <w:r w:rsidR="00C43F9C" w:rsidRPr="008B669D">
        <w:rPr>
          <w:rFonts w:cstheme="minorHAnsi"/>
        </w:rPr>
        <w:t>.</w:t>
      </w:r>
    </w:p>
    <w:p w14:paraId="22C6C547" w14:textId="77777777" w:rsidR="00856CB0" w:rsidRPr="00BB2B41" w:rsidRDefault="00856CB0" w:rsidP="004170D9">
      <w:pPr>
        <w:spacing w:after="0"/>
        <w:rPr>
          <w:b/>
        </w:rPr>
      </w:pPr>
      <w:r w:rsidRPr="00BB2B41">
        <w:rPr>
          <w:b/>
        </w:rPr>
        <w:t>Coordination with other NCPs</w:t>
      </w:r>
    </w:p>
    <w:p w14:paraId="3E8B033E" w14:textId="7F9313EB" w:rsidR="001F1752" w:rsidRDefault="001F1752" w:rsidP="004170D9">
      <w:pPr>
        <w:spacing w:after="240"/>
      </w:pPr>
      <w:r>
        <w:t>The issues raised were related to impact which was felt in the United States. However</w:t>
      </w:r>
      <w:r w:rsidRPr="0050425F">
        <w:t xml:space="preserve">, </w:t>
      </w:r>
      <w:r w:rsidR="001F4A3F" w:rsidRPr="0050425F">
        <w:t xml:space="preserve">according to the notifying parties, </w:t>
      </w:r>
      <w:r w:rsidRPr="0050425F">
        <w:t>the issues arose under the responsibility of Inter IKEA Holding BV,</w:t>
      </w:r>
      <w:r>
        <w:t xml:space="preserve"> which is based in the Netherlands. </w:t>
      </w:r>
      <w:r w:rsidR="000A428A">
        <w:t xml:space="preserve">A Swedish subsidiary of Inter IKEA was also involved in the procedure. </w:t>
      </w:r>
      <w:r w:rsidR="007D1445">
        <w:t xml:space="preserve">The Dutch NCP had separate contacts with the NCPs of the USA and Sweden concerning the specific instance. </w:t>
      </w:r>
      <w:r>
        <w:t>The outcome of th</w:t>
      </w:r>
      <w:r w:rsidR="007D1445">
        <w:t xml:space="preserve">e coordination process with </w:t>
      </w:r>
      <w:r w:rsidR="000A428A">
        <w:t>both</w:t>
      </w:r>
      <w:r>
        <w:t xml:space="preserve"> </w:t>
      </w:r>
      <w:r w:rsidR="007D1445">
        <w:t xml:space="preserve">other </w:t>
      </w:r>
      <w:r w:rsidRPr="009A4D74">
        <w:t>NCP</w:t>
      </w:r>
      <w:r w:rsidR="000A428A" w:rsidRPr="009A4D74">
        <w:t>s</w:t>
      </w:r>
      <w:r w:rsidRPr="009A4D74">
        <w:t xml:space="preserve"> is that the Dutch NCP is the right entity to assess the alleged non-observance of the enterprise.</w:t>
      </w:r>
    </w:p>
    <w:p w14:paraId="35DFC4B0" w14:textId="77777777" w:rsidR="00856CB0" w:rsidRPr="00BB2B41" w:rsidRDefault="00856CB0" w:rsidP="004170D9">
      <w:pPr>
        <w:spacing w:after="0"/>
        <w:rPr>
          <w:b/>
        </w:rPr>
      </w:pPr>
      <w:r w:rsidRPr="00BB2B41">
        <w:rPr>
          <w:b/>
        </w:rPr>
        <w:t>Brief overview of the timeline</w:t>
      </w:r>
    </w:p>
    <w:p w14:paraId="64897604" w14:textId="7CDDCFF2" w:rsidR="00856CB0" w:rsidRDefault="001346F8" w:rsidP="004170D9">
      <w:pPr>
        <w:spacing w:after="240"/>
        <w:rPr>
          <w:rFonts w:cstheme="minorHAnsi"/>
        </w:rPr>
      </w:pPr>
      <w:r>
        <w:rPr>
          <w:rFonts w:cstheme="minorHAnsi"/>
        </w:rPr>
        <w:t>The notification was received on 24 December 2020. The first virtual meeting with the notifying pa</w:t>
      </w:r>
      <w:r w:rsidR="00206935">
        <w:rPr>
          <w:rFonts w:cstheme="minorHAnsi"/>
        </w:rPr>
        <w:t xml:space="preserve">rties took place 19 </w:t>
      </w:r>
      <w:proofErr w:type="gramStart"/>
      <w:r w:rsidR="00206935">
        <w:rPr>
          <w:rFonts w:cstheme="minorHAnsi"/>
        </w:rPr>
        <w:t>March,</w:t>
      </w:r>
      <w:proofErr w:type="gramEnd"/>
      <w:r w:rsidR="00206935">
        <w:rPr>
          <w:rFonts w:cstheme="minorHAnsi"/>
        </w:rPr>
        <w:t xml:space="preserve"> 2021, t</w:t>
      </w:r>
      <w:r>
        <w:rPr>
          <w:rFonts w:cstheme="minorHAnsi"/>
        </w:rPr>
        <w:t xml:space="preserve">he first virtual meeting with the enterprise took place on April 9, 2021. The draft initial assessment was shared with parties on </w:t>
      </w:r>
      <w:r w:rsidR="006371C2" w:rsidRPr="006371C2">
        <w:rPr>
          <w:rFonts w:cstheme="minorHAnsi"/>
        </w:rPr>
        <w:t>22</w:t>
      </w:r>
      <w:r w:rsidR="00BB7640">
        <w:rPr>
          <w:rFonts w:cstheme="minorHAnsi"/>
        </w:rPr>
        <w:t xml:space="preserve"> July 2021</w:t>
      </w:r>
      <w:r>
        <w:rPr>
          <w:rFonts w:cstheme="minorHAnsi"/>
        </w:rPr>
        <w:t>, parties could provide comments</w:t>
      </w:r>
      <w:r w:rsidR="006371C2">
        <w:rPr>
          <w:rFonts w:cstheme="minorHAnsi"/>
        </w:rPr>
        <w:t xml:space="preserve"> by</w:t>
      </w:r>
      <w:r>
        <w:rPr>
          <w:rFonts w:cstheme="minorHAnsi"/>
        </w:rPr>
        <w:t xml:space="preserve"> </w:t>
      </w:r>
      <w:r w:rsidR="00BB7640">
        <w:rPr>
          <w:rFonts w:cstheme="minorHAnsi"/>
        </w:rPr>
        <w:t>30 August 2021</w:t>
      </w:r>
      <w:r>
        <w:rPr>
          <w:rFonts w:cstheme="minorHAnsi"/>
        </w:rPr>
        <w:t xml:space="preserve">. The initial assessment was published on </w:t>
      </w:r>
      <w:r w:rsidRPr="007D0EC9">
        <w:rPr>
          <w:rFonts w:cstheme="minorHAnsi"/>
          <w:highlight w:val="yellow"/>
        </w:rPr>
        <w:t>xx</w:t>
      </w:r>
      <w:r w:rsidRPr="00CC514E">
        <w:rPr>
          <w:rFonts w:cstheme="minorHAnsi"/>
        </w:rPr>
        <w:t>.</w:t>
      </w:r>
      <w:r>
        <w:rPr>
          <w:rFonts w:cstheme="minorHAnsi"/>
        </w:rPr>
        <w:t xml:space="preserve"> </w:t>
      </w:r>
    </w:p>
    <w:p w14:paraId="68822917" w14:textId="77777777" w:rsidR="00856CB0" w:rsidRPr="00BB2B41" w:rsidRDefault="00856CB0" w:rsidP="004170D9">
      <w:pPr>
        <w:spacing w:after="0"/>
        <w:rPr>
          <w:b/>
        </w:rPr>
      </w:pPr>
      <w:r w:rsidRPr="00BB2B41">
        <w:rPr>
          <w:b/>
        </w:rPr>
        <w:t>Conclusion</w:t>
      </w:r>
    </w:p>
    <w:p w14:paraId="646F4ECA" w14:textId="77777777" w:rsidR="001346F8" w:rsidRDefault="001346F8" w:rsidP="00FD4A30">
      <w:pPr>
        <w:spacing w:after="0"/>
        <w:contextualSpacing/>
      </w:pPr>
      <w:r>
        <w:t xml:space="preserve">The Dutch NCP concludes that the notification concerning Inter </w:t>
      </w:r>
      <w:r w:rsidR="00D773A9">
        <w:t>IKEA</w:t>
      </w:r>
      <w:r>
        <w:t xml:space="preserve"> merits further consideration based on the following criteria: </w:t>
      </w:r>
    </w:p>
    <w:p w14:paraId="1D2E89C1" w14:textId="7930D5C5" w:rsidR="001346F8" w:rsidRDefault="00453BA3" w:rsidP="004570C1">
      <w:pPr>
        <w:spacing w:after="0"/>
        <w:ind w:left="284" w:hanging="294"/>
        <w:contextualSpacing/>
      </w:pPr>
      <w:r>
        <w:t>-</w:t>
      </w:r>
      <w:r w:rsidR="004570C1">
        <w:tab/>
      </w:r>
      <w:r>
        <w:t>t</w:t>
      </w:r>
      <w:r w:rsidR="001346F8">
        <w:t>he Dutch NCP is the right entity to assess t</w:t>
      </w:r>
      <w:r>
        <w:t>he alleged violation.</w:t>
      </w:r>
    </w:p>
    <w:p w14:paraId="1D6779F2" w14:textId="708CDE1F" w:rsidR="001346F8" w:rsidRDefault="00453BA3" w:rsidP="004570C1">
      <w:pPr>
        <w:spacing w:after="0"/>
        <w:ind w:left="284" w:hanging="294"/>
        <w:contextualSpacing/>
      </w:pPr>
      <w:r>
        <w:t>-</w:t>
      </w:r>
      <w:r w:rsidR="004570C1">
        <w:tab/>
      </w:r>
      <w:r>
        <w:t>t</w:t>
      </w:r>
      <w:r w:rsidR="001346F8">
        <w:t>he notifying parties are concerned parties with a legitimate interest in the is</w:t>
      </w:r>
      <w:r>
        <w:t>sues raised in the notification.</w:t>
      </w:r>
      <w:r w:rsidR="001346F8">
        <w:t xml:space="preserve"> </w:t>
      </w:r>
    </w:p>
    <w:p w14:paraId="25BE01AC" w14:textId="4ADB671D" w:rsidR="001346F8" w:rsidRDefault="001346F8" w:rsidP="004570C1">
      <w:pPr>
        <w:spacing w:after="0"/>
        <w:ind w:left="284" w:hanging="294"/>
        <w:contextualSpacing/>
      </w:pPr>
      <w:r w:rsidRPr="00EF0A70">
        <w:t>-</w:t>
      </w:r>
      <w:r w:rsidR="004570C1">
        <w:tab/>
      </w:r>
      <w:r w:rsidR="00453BA3" w:rsidRPr="00EF0A70">
        <w:t>t</w:t>
      </w:r>
      <w:r w:rsidRPr="00EF0A70">
        <w:t>he issues raised are materia</w:t>
      </w:r>
      <w:r w:rsidR="00453BA3" w:rsidRPr="00EF0A70">
        <w:t>l and prima facie substantiated</w:t>
      </w:r>
      <w:r w:rsidR="00453BA3">
        <w:t>.</w:t>
      </w:r>
      <w:r>
        <w:t xml:space="preserve"> </w:t>
      </w:r>
    </w:p>
    <w:p w14:paraId="0552E546" w14:textId="42393FB2" w:rsidR="001346F8" w:rsidRDefault="00453BA3" w:rsidP="004570C1">
      <w:pPr>
        <w:spacing w:after="0"/>
        <w:ind w:left="284" w:hanging="294"/>
        <w:contextualSpacing/>
      </w:pPr>
      <w:r>
        <w:t>-</w:t>
      </w:r>
      <w:r w:rsidR="004570C1">
        <w:tab/>
      </w:r>
      <w:r>
        <w:t>t</w:t>
      </w:r>
      <w:r w:rsidR="001346F8">
        <w:t>here is a link between the enterprise’s activities and the issues r</w:t>
      </w:r>
      <w:r>
        <w:t>aised in the specific instance.</w:t>
      </w:r>
    </w:p>
    <w:p w14:paraId="58327456" w14:textId="74B31283" w:rsidR="001346F8" w:rsidRDefault="001346F8" w:rsidP="004170D9">
      <w:pPr>
        <w:spacing w:after="240"/>
        <w:ind w:left="284" w:hanging="295"/>
      </w:pPr>
      <w:r>
        <w:t>-</w:t>
      </w:r>
      <w:r w:rsidR="004570C1">
        <w:tab/>
      </w:r>
      <w:r w:rsidR="00453BA3">
        <w:t>t</w:t>
      </w:r>
      <w:r>
        <w:t xml:space="preserve">he consideration of this specific instance may contribute to the Guidelines’ objectives and enhance their effectiveness. </w:t>
      </w:r>
    </w:p>
    <w:p w14:paraId="536D7522" w14:textId="36A3D4DE" w:rsidR="00BB2B41" w:rsidRDefault="001346F8" w:rsidP="004170D9">
      <w:pPr>
        <w:spacing w:after="240"/>
      </w:pPr>
      <w:r w:rsidRPr="00F73D98">
        <w:t>The decision to accept this specific instance for further examination is not based on conclusive research or fact-finding, nor does it represent a conclusion as to whether the enterprise observed the Guidelines or not.</w:t>
      </w:r>
    </w:p>
    <w:p w14:paraId="462A099D" w14:textId="77777777" w:rsidR="00BB2B41" w:rsidRDefault="00BB2B41">
      <w:r>
        <w:br w:type="page"/>
      </w:r>
    </w:p>
    <w:p w14:paraId="366989E1" w14:textId="77777777" w:rsidR="001B728A" w:rsidRPr="00FD4A30" w:rsidRDefault="00EE5A5E" w:rsidP="004D68BA">
      <w:pPr>
        <w:pStyle w:val="Heading1"/>
        <w:numPr>
          <w:ilvl w:val="0"/>
          <w:numId w:val="3"/>
        </w:numPr>
        <w:spacing w:line="259" w:lineRule="auto"/>
        <w:contextualSpacing/>
        <w:rPr>
          <w:rFonts w:asciiTheme="minorHAnsi" w:hAnsiTheme="minorHAnsi" w:cstheme="minorHAnsi"/>
          <w:sz w:val="28"/>
          <w:szCs w:val="28"/>
        </w:rPr>
      </w:pPr>
      <w:bookmarkStart w:id="1" w:name="_Toc84860554"/>
      <w:r>
        <w:rPr>
          <w:rFonts w:asciiTheme="minorHAnsi" w:hAnsiTheme="minorHAnsi" w:cstheme="minorHAnsi"/>
          <w:sz w:val="28"/>
          <w:szCs w:val="28"/>
        </w:rPr>
        <w:lastRenderedPageBreak/>
        <w:t>Substance</w:t>
      </w:r>
      <w:r w:rsidR="00C11B7C" w:rsidRPr="00FD4A30">
        <w:rPr>
          <w:rFonts w:asciiTheme="minorHAnsi" w:hAnsiTheme="minorHAnsi" w:cstheme="minorHAnsi"/>
          <w:sz w:val="28"/>
          <w:szCs w:val="28"/>
        </w:rPr>
        <w:t xml:space="preserve"> of the </w:t>
      </w:r>
      <w:r w:rsidR="00856CB0">
        <w:rPr>
          <w:rFonts w:asciiTheme="minorHAnsi" w:hAnsiTheme="minorHAnsi" w:cstheme="minorHAnsi"/>
          <w:sz w:val="28"/>
          <w:szCs w:val="28"/>
        </w:rPr>
        <w:t>submission</w:t>
      </w:r>
      <w:bookmarkEnd w:id="1"/>
      <w:r w:rsidR="001B728A" w:rsidRPr="00FD4A30">
        <w:rPr>
          <w:rFonts w:asciiTheme="minorHAnsi" w:hAnsiTheme="minorHAnsi" w:cstheme="minorHAnsi"/>
          <w:sz w:val="28"/>
          <w:szCs w:val="28"/>
        </w:rPr>
        <w:t xml:space="preserve"> </w:t>
      </w:r>
    </w:p>
    <w:p w14:paraId="3BC3BDE6" w14:textId="110891EF" w:rsidR="00856CB0" w:rsidRDefault="00856CB0" w:rsidP="00BB2449">
      <w:pPr>
        <w:pStyle w:val="Para"/>
        <w:numPr>
          <w:ilvl w:val="0"/>
          <w:numId w:val="0"/>
        </w:numPr>
        <w:spacing w:before="0" w:after="240" w:line="259" w:lineRule="auto"/>
        <w:rPr>
          <w:rFonts w:cstheme="minorHAnsi"/>
        </w:rPr>
      </w:pPr>
      <w:r w:rsidRPr="00D21E78">
        <w:rPr>
          <w:sz w:val="22"/>
        </w:rPr>
        <w:t xml:space="preserve">This section provides an overview of the issues raised in the submission against </w:t>
      </w:r>
      <w:r w:rsidR="00D773A9" w:rsidRPr="00D21E78">
        <w:rPr>
          <w:sz w:val="22"/>
        </w:rPr>
        <w:t>the enterprise</w:t>
      </w:r>
      <w:r w:rsidRPr="00D21E78">
        <w:rPr>
          <w:sz w:val="22"/>
        </w:rPr>
        <w:t>, how the issues relate to the Guidelines, and the enterprise’s initial response.</w:t>
      </w:r>
      <w:r w:rsidR="00D21E78" w:rsidRPr="00D21E78">
        <w:rPr>
          <w:sz w:val="22"/>
        </w:rPr>
        <w:t xml:space="preserve"> The NCP does not express an opinion on the correctness of the statements of the parties or the validity of the documentation provided by them.</w:t>
      </w:r>
    </w:p>
    <w:p w14:paraId="79DA6E62" w14:textId="3C7D7476" w:rsidR="009F4C09" w:rsidRPr="00BB2B41" w:rsidRDefault="009F4C09" w:rsidP="004170D9">
      <w:pPr>
        <w:spacing w:after="0"/>
        <w:rPr>
          <w:b/>
        </w:rPr>
      </w:pPr>
      <w:r w:rsidRPr="00BB2B41">
        <w:rPr>
          <w:b/>
        </w:rPr>
        <w:t>The parties</w:t>
      </w:r>
    </w:p>
    <w:p w14:paraId="7342E998" w14:textId="4BC20214" w:rsidR="00856CB0" w:rsidRPr="00BD722E" w:rsidRDefault="007E3284" w:rsidP="00BB2449">
      <w:pPr>
        <w:spacing w:after="240"/>
        <w:rPr>
          <w:rFonts w:cstheme="minorHAnsi"/>
          <w:color w:val="202122"/>
          <w:shd w:val="clear" w:color="auto" w:fill="FFFFFF"/>
        </w:rPr>
      </w:pPr>
      <w:r w:rsidRPr="00135826">
        <w:rPr>
          <w:rFonts w:cstheme="minorHAnsi"/>
        </w:rPr>
        <w:t xml:space="preserve">The party submitting this specific instance </w:t>
      </w:r>
      <w:r w:rsidRPr="00BD722E">
        <w:rPr>
          <w:rFonts w:cstheme="minorHAnsi"/>
        </w:rPr>
        <w:t xml:space="preserve">is the </w:t>
      </w:r>
      <w:r w:rsidR="00C06298" w:rsidRPr="00BD722E">
        <w:rPr>
          <w:rFonts w:cstheme="minorHAnsi"/>
        </w:rPr>
        <w:t>BWI</w:t>
      </w:r>
      <w:r w:rsidR="00D773A9" w:rsidRPr="00BD722E">
        <w:rPr>
          <w:rFonts w:cstheme="minorHAnsi"/>
        </w:rPr>
        <w:t xml:space="preserve">, </w:t>
      </w:r>
      <w:r w:rsidRPr="00BD722E">
        <w:rPr>
          <w:rFonts w:cstheme="minorHAnsi"/>
        </w:rPr>
        <w:t xml:space="preserve">a global union federation representing workers in the building and construction, </w:t>
      </w:r>
      <w:proofErr w:type="gramStart"/>
      <w:r w:rsidRPr="00BD722E">
        <w:rPr>
          <w:rFonts w:cstheme="minorHAnsi"/>
        </w:rPr>
        <w:t>wood</w:t>
      </w:r>
      <w:proofErr w:type="gramEnd"/>
      <w:r w:rsidRPr="00BD722E">
        <w:rPr>
          <w:rFonts w:cstheme="minorHAnsi"/>
        </w:rPr>
        <w:t xml:space="preserve"> and forestry, building materials and allied sectors</w:t>
      </w:r>
      <w:r w:rsidR="00364FE8">
        <w:rPr>
          <w:rFonts w:cstheme="minorHAnsi"/>
        </w:rPr>
        <w:t xml:space="preserve">, which </w:t>
      </w:r>
      <w:r w:rsidRPr="00BD722E">
        <w:rPr>
          <w:rFonts w:cstheme="minorHAnsi"/>
        </w:rPr>
        <w:t xml:space="preserve">has over 350 affiliated trade unions from 150 countries that represent over 12 million workers. It is joined in this submission by </w:t>
      </w:r>
      <w:r w:rsidR="00A72F7C" w:rsidRPr="00BD722E">
        <w:rPr>
          <w:rFonts w:cstheme="minorHAnsi"/>
        </w:rPr>
        <w:t xml:space="preserve">its member </w:t>
      </w:r>
      <w:r w:rsidRPr="00BD722E">
        <w:rPr>
          <w:rFonts w:cstheme="minorHAnsi"/>
        </w:rPr>
        <w:t xml:space="preserve">the </w:t>
      </w:r>
      <w:r w:rsidRPr="00BD722E">
        <w:rPr>
          <w:rFonts w:cstheme="minorHAnsi"/>
          <w:bCs/>
        </w:rPr>
        <w:t>IAMAW</w:t>
      </w:r>
      <w:r w:rsidRPr="00BD722E">
        <w:rPr>
          <w:rFonts w:cstheme="minorHAnsi"/>
        </w:rPr>
        <w:t xml:space="preserve">, which represents workers in Aerospace, Transportation, the Federal Government, Automotive, </w:t>
      </w:r>
      <w:proofErr w:type="spellStart"/>
      <w:r w:rsidRPr="00BD722E">
        <w:rPr>
          <w:rFonts w:cstheme="minorHAnsi"/>
        </w:rPr>
        <w:t>Defence</w:t>
      </w:r>
      <w:proofErr w:type="spellEnd"/>
      <w:r w:rsidRPr="00BD722E">
        <w:rPr>
          <w:rFonts w:cstheme="minorHAnsi"/>
        </w:rPr>
        <w:t xml:space="preserve">, Woodworking and several other industries </w:t>
      </w:r>
      <w:r w:rsidR="00A72F7C" w:rsidRPr="00BD722E">
        <w:rPr>
          <w:rFonts w:cstheme="minorHAnsi"/>
        </w:rPr>
        <w:t xml:space="preserve">in North America </w:t>
      </w:r>
      <w:r w:rsidRPr="00BD722E">
        <w:rPr>
          <w:rFonts w:cstheme="minorHAnsi"/>
        </w:rPr>
        <w:t xml:space="preserve">and </w:t>
      </w:r>
      <w:r w:rsidR="007D1445" w:rsidRPr="00BD722E">
        <w:rPr>
          <w:rFonts w:cstheme="minorHAnsi"/>
        </w:rPr>
        <w:t>by</w:t>
      </w:r>
      <w:r w:rsidRPr="00BD722E">
        <w:rPr>
          <w:rFonts w:cstheme="minorHAnsi"/>
        </w:rPr>
        <w:t xml:space="preserve"> </w:t>
      </w:r>
      <w:r w:rsidRPr="00BD722E">
        <w:rPr>
          <w:rFonts w:cstheme="minorHAnsi"/>
          <w:bCs/>
        </w:rPr>
        <w:t>GS</w:t>
      </w:r>
      <w:r w:rsidR="00394D72" w:rsidRPr="00BD722E">
        <w:rPr>
          <w:rFonts w:cstheme="minorHAnsi"/>
          <w:bCs/>
        </w:rPr>
        <w:t xml:space="preserve"> </w:t>
      </w:r>
      <w:proofErr w:type="spellStart"/>
      <w:r w:rsidR="00394D72" w:rsidRPr="00BD722E">
        <w:rPr>
          <w:rFonts w:cstheme="minorHAnsi"/>
          <w:bCs/>
        </w:rPr>
        <w:t>Facket</w:t>
      </w:r>
      <w:proofErr w:type="spellEnd"/>
      <w:r w:rsidRPr="00BD722E">
        <w:rPr>
          <w:rFonts w:cstheme="minorHAnsi"/>
        </w:rPr>
        <w:t xml:space="preserve">, </w:t>
      </w:r>
      <w:r w:rsidR="00A72F7C" w:rsidRPr="00BD722E">
        <w:rPr>
          <w:rFonts w:cstheme="minorHAnsi"/>
        </w:rPr>
        <w:t>BWI member and</w:t>
      </w:r>
      <w:r w:rsidRPr="00BD722E">
        <w:rPr>
          <w:rFonts w:cstheme="minorHAnsi"/>
        </w:rPr>
        <w:t xml:space="preserve"> Swedish </w:t>
      </w:r>
      <w:r w:rsidR="00A72F7C" w:rsidRPr="00BD722E">
        <w:rPr>
          <w:rFonts w:cstheme="minorHAnsi"/>
        </w:rPr>
        <w:t xml:space="preserve">trade union representing </w:t>
      </w:r>
      <w:r w:rsidRPr="00BD722E">
        <w:rPr>
          <w:rFonts w:cstheme="minorHAnsi"/>
        </w:rPr>
        <w:t xml:space="preserve">workers in </w:t>
      </w:r>
      <w:r w:rsidRPr="00BD722E">
        <w:rPr>
          <w:rFonts w:cstheme="minorHAnsi"/>
          <w:color w:val="202122"/>
          <w:shd w:val="clear" w:color="auto" w:fill="FFFFFF"/>
        </w:rPr>
        <w:t xml:space="preserve">the forestry, woodworking furniture and graphic industries </w:t>
      </w:r>
      <w:r w:rsidR="00A72F7C" w:rsidRPr="00BD722E">
        <w:rPr>
          <w:rFonts w:cstheme="minorHAnsi"/>
          <w:color w:val="202122"/>
          <w:shd w:val="clear" w:color="auto" w:fill="FFFFFF"/>
        </w:rPr>
        <w:t>including</w:t>
      </w:r>
      <w:r w:rsidRPr="00BD722E">
        <w:rPr>
          <w:rFonts w:cstheme="minorHAnsi"/>
          <w:color w:val="202122"/>
          <w:shd w:val="clear" w:color="auto" w:fill="FFFFFF"/>
        </w:rPr>
        <w:t xml:space="preserve"> </w:t>
      </w:r>
      <w:r w:rsidR="00D773A9" w:rsidRPr="00BD722E">
        <w:rPr>
          <w:rFonts w:cstheme="minorHAnsi"/>
          <w:color w:val="202122"/>
          <w:shd w:val="clear" w:color="auto" w:fill="FFFFFF"/>
        </w:rPr>
        <w:t>IKEA</w:t>
      </w:r>
      <w:r w:rsidRPr="00BD722E">
        <w:rPr>
          <w:rFonts w:cstheme="minorHAnsi"/>
          <w:color w:val="202122"/>
          <w:shd w:val="clear" w:color="auto" w:fill="FFFFFF"/>
        </w:rPr>
        <w:t xml:space="preserve"> Industry</w:t>
      </w:r>
      <w:r w:rsidR="00A72F7C" w:rsidRPr="00BD722E">
        <w:rPr>
          <w:rFonts w:cstheme="minorHAnsi"/>
          <w:color w:val="202122"/>
          <w:shd w:val="clear" w:color="auto" w:fill="FFFFFF"/>
        </w:rPr>
        <w:t xml:space="preserve"> workers based in Sweden</w:t>
      </w:r>
      <w:r w:rsidR="007D1445" w:rsidRPr="00BD722E">
        <w:rPr>
          <w:rFonts w:cstheme="minorHAnsi"/>
          <w:color w:val="202122"/>
          <w:shd w:val="clear" w:color="auto" w:fill="FFFFFF"/>
        </w:rPr>
        <w:t>, as a supporting voice</w:t>
      </w:r>
      <w:r w:rsidRPr="00BD722E">
        <w:rPr>
          <w:rFonts w:cstheme="minorHAnsi"/>
          <w:color w:val="202122"/>
          <w:shd w:val="clear" w:color="auto" w:fill="FFFFFF"/>
        </w:rPr>
        <w:t>.</w:t>
      </w:r>
    </w:p>
    <w:p w14:paraId="162255EF" w14:textId="5691F040" w:rsidR="00063E9A" w:rsidRDefault="00135826" w:rsidP="00BB2449">
      <w:pPr>
        <w:spacing w:after="240"/>
        <w:rPr>
          <w:rFonts w:cstheme="minorHAnsi"/>
          <w:color w:val="202122"/>
          <w:shd w:val="clear" w:color="auto" w:fill="FFFFFF"/>
        </w:rPr>
      </w:pPr>
      <w:r w:rsidRPr="00BD722E">
        <w:rPr>
          <w:rFonts w:cstheme="minorHAnsi"/>
          <w:color w:val="202122"/>
          <w:shd w:val="clear" w:color="auto" w:fill="FFFFFF"/>
        </w:rPr>
        <w:t xml:space="preserve">The submission concerns Inter </w:t>
      </w:r>
      <w:r w:rsidR="00D773A9" w:rsidRPr="00BD722E">
        <w:rPr>
          <w:rFonts w:cstheme="minorHAnsi"/>
          <w:color w:val="202122"/>
          <w:shd w:val="clear" w:color="auto" w:fill="FFFFFF"/>
        </w:rPr>
        <w:t>IKEA</w:t>
      </w:r>
      <w:r w:rsidRPr="00BD722E">
        <w:rPr>
          <w:rFonts w:cstheme="minorHAnsi"/>
          <w:color w:val="202122"/>
          <w:shd w:val="clear" w:color="auto" w:fill="FFFFFF"/>
        </w:rPr>
        <w:t>, a holding c</w:t>
      </w:r>
      <w:r w:rsidR="00C43A25">
        <w:rPr>
          <w:rFonts w:cstheme="minorHAnsi"/>
          <w:color w:val="202122"/>
          <w:shd w:val="clear" w:color="auto" w:fill="FFFFFF"/>
        </w:rPr>
        <w:t>ompany based in the Netherlands. Inter IKEA Group is the group of companies that connects IKEA franchisees with range development and suppliers and aligns the overall IKEA strategic direction.</w:t>
      </w:r>
      <w:r w:rsidRPr="00BD722E">
        <w:rPr>
          <w:rFonts w:cstheme="minorHAnsi"/>
          <w:color w:val="202122"/>
          <w:shd w:val="clear" w:color="auto" w:fill="FFFFFF"/>
        </w:rPr>
        <w:t xml:space="preserve"> </w:t>
      </w:r>
      <w:r>
        <w:rPr>
          <w:rFonts w:cstheme="minorHAnsi"/>
          <w:color w:val="202122"/>
          <w:shd w:val="clear" w:color="auto" w:fill="FFFFFF"/>
        </w:rPr>
        <w:t xml:space="preserve">It owns </w:t>
      </w:r>
      <w:r w:rsidR="00D773A9">
        <w:rPr>
          <w:rFonts w:cstheme="minorHAnsi"/>
          <w:color w:val="202122"/>
          <w:shd w:val="clear" w:color="auto" w:fill="FFFFFF"/>
        </w:rPr>
        <w:t>IKEA</w:t>
      </w:r>
      <w:r w:rsidR="00063E9A">
        <w:rPr>
          <w:rFonts w:cstheme="minorHAnsi"/>
          <w:color w:val="202122"/>
          <w:shd w:val="clear" w:color="auto" w:fill="FFFFFF"/>
        </w:rPr>
        <w:t xml:space="preserve"> Industry</w:t>
      </w:r>
      <w:r w:rsidR="00A966AB">
        <w:rPr>
          <w:rFonts w:cstheme="minorHAnsi"/>
          <w:color w:val="202122"/>
          <w:shd w:val="clear" w:color="auto" w:fill="FFFFFF"/>
        </w:rPr>
        <w:t xml:space="preserve"> Group</w:t>
      </w:r>
      <w:r w:rsidR="00063E9A">
        <w:rPr>
          <w:rFonts w:cstheme="minorHAnsi"/>
          <w:color w:val="202122"/>
          <w:shd w:val="clear" w:color="auto" w:fill="FFFFFF"/>
        </w:rPr>
        <w:t>, which manufactures wood furniture</w:t>
      </w:r>
      <w:r w:rsidR="00A966AB">
        <w:rPr>
          <w:rFonts w:cstheme="minorHAnsi"/>
          <w:color w:val="202122"/>
          <w:shd w:val="clear" w:color="auto" w:fill="FFFFFF"/>
        </w:rPr>
        <w:t xml:space="preserve"> and owns production sites</w:t>
      </w:r>
      <w:r w:rsidR="00DB2F08">
        <w:rPr>
          <w:rFonts w:cstheme="minorHAnsi"/>
          <w:color w:val="202122"/>
          <w:shd w:val="clear" w:color="auto" w:fill="FFFFFF"/>
        </w:rPr>
        <w:t>, including the closed site in Danville, US</w:t>
      </w:r>
      <w:r w:rsidR="00063E9A">
        <w:rPr>
          <w:rFonts w:cstheme="minorHAnsi"/>
          <w:color w:val="202122"/>
          <w:shd w:val="clear" w:color="auto" w:fill="FFFFFF"/>
        </w:rPr>
        <w:t xml:space="preserve">. </w:t>
      </w:r>
    </w:p>
    <w:p w14:paraId="46BFBD1C" w14:textId="77777777" w:rsidR="009F4C09" w:rsidRPr="00BB2B41" w:rsidRDefault="009F4C09" w:rsidP="004170D9">
      <w:pPr>
        <w:spacing w:after="0"/>
        <w:rPr>
          <w:b/>
        </w:rPr>
      </w:pPr>
      <w:r w:rsidRPr="00BB2B41">
        <w:rPr>
          <w:b/>
        </w:rPr>
        <w:t>The submission</w:t>
      </w:r>
    </w:p>
    <w:p w14:paraId="3E4767D9" w14:textId="34CE4196" w:rsidR="00DB157E" w:rsidRPr="00D773A9" w:rsidRDefault="00063E9A" w:rsidP="00BB2449">
      <w:pPr>
        <w:spacing w:after="240"/>
        <w:rPr>
          <w:rFonts w:cstheme="minorHAnsi"/>
          <w:color w:val="202122"/>
          <w:shd w:val="clear" w:color="auto" w:fill="FFFFFF"/>
        </w:rPr>
      </w:pPr>
      <w:r w:rsidRPr="003507D2">
        <w:rPr>
          <w:rFonts w:cstheme="minorHAnsi"/>
          <w:color w:val="202122"/>
          <w:shd w:val="clear" w:color="auto" w:fill="FFFFFF"/>
        </w:rPr>
        <w:t xml:space="preserve">According to the notifying parties, the closure of </w:t>
      </w:r>
      <w:r w:rsidR="00DB2F08" w:rsidRPr="003507D2">
        <w:rPr>
          <w:rFonts w:cstheme="minorHAnsi"/>
          <w:color w:val="202122"/>
          <w:shd w:val="clear" w:color="auto" w:fill="FFFFFF"/>
        </w:rPr>
        <w:t>the</w:t>
      </w:r>
      <w:r w:rsidRPr="003507D2">
        <w:rPr>
          <w:rFonts w:cstheme="minorHAnsi"/>
          <w:color w:val="202122"/>
          <w:shd w:val="clear" w:color="auto" w:fill="FFFFFF"/>
        </w:rPr>
        <w:t xml:space="preserve"> </w:t>
      </w:r>
      <w:r w:rsidR="00DB2F08" w:rsidRPr="003507D2">
        <w:rPr>
          <w:rFonts w:cstheme="minorHAnsi"/>
          <w:color w:val="202122"/>
          <w:shd w:val="clear" w:color="auto" w:fill="FFFFFF"/>
        </w:rPr>
        <w:t>production</w:t>
      </w:r>
      <w:r w:rsidRPr="003507D2">
        <w:rPr>
          <w:rFonts w:cstheme="minorHAnsi"/>
          <w:color w:val="202122"/>
          <w:shd w:val="clear" w:color="auto" w:fill="FFFFFF"/>
        </w:rPr>
        <w:t xml:space="preserve"> facility in Danville, Virginia, United States</w:t>
      </w:r>
      <w:r w:rsidR="007A5983" w:rsidRPr="003507D2">
        <w:rPr>
          <w:rFonts w:cstheme="minorHAnsi"/>
          <w:color w:val="202122"/>
          <w:shd w:val="clear" w:color="auto" w:fill="FFFFFF"/>
        </w:rPr>
        <w:t>,</w:t>
      </w:r>
      <w:r w:rsidRPr="003507D2">
        <w:rPr>
          <w:rFonts w:cstheme="minorHAnsi"/>
          <w:color w:val="202122"/>
          <w:shd w:val="clear" w:color="auto" w:fill="FFFFFF"/>
        </w:rPr>
        <w:t xml:space="preserve"> was announced </w:t>
      </w:r>
      <w:r w:rsidR="00DB157E" w:rsidRPr="003507D2">
        <w:rPr>
          <w:rFonts w:cstheme="minorHAnsi"/>
          <w:color w:val="202122"/>
          <w:shd w:val="clear" w:color="auto" w:fill="FFFFFF"/>
        </w:rPr>
        <w:t xml:space="preserve">on July 10, </w:t>
      </w:r>
      <w:proofErr w:type="gramStart"/>
      <w:r w:rsidR="00DB157E" w:rsidRPr="003507D2">
        <w:rPr>
          <w:rFonts w:cstheme="minorHAnsi"/>
          <w:color w:val="202122"/>
          <w:shd w:val="clear" w:color="auto" w:fill="FFFFFF"/>
        </w:rPr>
        <w:t>2019</w:t>
      </w:r>
      <w:proofErr w:type="gramEnd"/>
      <w:r w:rsidR="00DB157E" w:rsidRPr="003507D2">
        <w:rPr>
          <w:rFonts w:cstheme="minorHAnsi"/>
          <w:color w:val="202122"/>
          <w:shd w:val="clear" w:color="auto" w:fill="FFFFFF"/>
        </w:rPr>
        <w:t xml:space="preserve"> </w:t>
      </w:r>
      <w:r w:rsidRPr="003507D2">
        <w:rPr>
          <w:rFonts w:cstheme="minorHAnsi"/>
          <w:color w:val="202122"/>
          <w:shd w:val="clear" w:color="auto" w:fill="FFFFFF"/>
        </w:rPr>
        <w:t xml:space="preserve">without any prior negotiations, discussions or consultations with </w:t>
      </w:r>
      <w:r w:rsidR="00553E22" w:rsidRPr="003507D2">
        <w:rPr>
          <w:rFonts w:cstheme="minorHAnsi"/>
          <w:color w:val="202122"/>
          <w:shd w:val="clear" w:color="auto" w:fill="FFFFFF"/>
        </w:rPr>
        <w:t xml:space="preserve">IAMAW, </w:t>
      </w:r>
      <w:r w:rsidRPr="003507D2">
        <w:rPr>
          <w:rFonts w:cstheme="minorHAnsi"/>
          <w:color w:val="202122"/>
          <w:shd w:val="clear" w:color="auto" w:fill="FFFFFF"/>
        </w:rPr>
        <w:t xml:space="preserve">the union representing the workers. </w:t>
      </w:r>
      <w:r w:rsidR="00DB157E" w:rsidRPr="003507D2">
        <w:rPr>
          <w:rFonts w:cstheme="minorHAnsi"/>
          <w:color w:val="202122"/>
          <w:shd w:val="clear" w:color="auto" w:fill="FFFFFF"/>
        </w:rPr>
        <w:t xml:space="preserve">The effective date of the closure was to be the end of the year but was extended to April 2020. The closure directly affected 300 workers. Before the closure, the union was able to negotiate an agreement on its impact to cushion the blow to workers, but the closure itself was </w:t>
      </w:r>
      <w:r w:rsidR="00394CA7" w:rsidRPr="003507D2">
        <w:rPr>
          <w:rFonts w:cstheme="minorHAnsi"/>
          <w:color w:val="202122"/>
          <w:shd w:val="clear" w:color="auto" w:fill="FFFFFF"/>
        </w:rPr>
        <w:t xml:space="preserve">already </w:t>
      </w:r>
      <w:r w:rsidR="00DB157E" w:rsidRPr="003507D2">
        <w:rPr>
          <w:rFonts w:cstheme="minorHAnsi"/>
          <w:color w:val="202122"/>
          <w:shd w:val="clear" w:color="auto" w:fill="FFFFFF"/>
        </w:rPr>
        <w:t xml:space="preserve">a fait accompli. The union and its members were told that the costs of raw materials were too high, so production would be shifted to Europe. Possible alternative sites in the US were not considered because the company was unwilling to have discussions. </w:t>
      </w:r>
      <w:r w:rsidR="00C2166B" w:rsidRPr="003507D2">
        <w:rPr>
          <w:rFonts w:cstheme="minorHAnsi"/>
          <w:color w:val="202122"/>
          <w:shd w:val="clear" w:color="auto" w:fill="FFFFFF"/>
        </w:rPr>
        <w:t>The notifying parties claim that a</w:t>
      </w:r>
      <w:r w:rsidR="00DB157E" w:rsidRPr="003507D2">
        <w:rPr>
          <w:rFonts w:cstheme="minorHAnsi"/>
          <w:color w:val="202122"/>
          <w:shd w:val="clear" w:color="auto" w:fill="FFFFFF"/>
        </w:rPr>
        <w:t xml:space="preserve">ppropriate and timely discussions with the </w:t>
      </w:r>
      <w:r w:rsidR="007A5983" w:rsidRPr="003507D2">
        <w:rPr>
          <w:rFonts w:cstheme="minorHAnsi"/>
          <w:color w:val="202122"/>
          <w:shd w:val="clear" w:color="auto" w:fill="FFFFFF"/>
        </w:rPr>
        <w:t xml:space="preserve">representatives of the workers </w:t>
      </w:r>
      <w:r w:rsidR="008C4F2A" w:rsidRPr="003507D2">
        <w:rPr>
          <w:rFonts w:cstheme="minorHAnsi"/>
          <w:color w:val="202122"/>
          <w:shd w:val="clear" w:color="auto" w:fill="FFFFFF"/>
        </w:rPr>
        <w:t xml:space="preserve">would </w:t>
      </w:r>
      <w:r w:rsidR="00DB157E" w:rsidRPr="003507D2">
        <w:rPr>
          <w:rFonts w:cstheme="minorHAnsi"/>
          <w:color w:val="202122"/>
          <w:shd w:val="clear" w:color="auto" w:fill="FFFFFF"/>
        </w:rPr>
        <w:t xml:space="preserve">have allowed </w:t>
      </w:r>
      <w:r w:rsidR="007A5983" w:rsidRPr="003507D2">
        <w:rPr>
          <w:rFonts w:cstheme="minorHAnsi"/>
          <w:color w:val="202122"/>
          <w:shd w:val="clear" w:color="auto" w:fill="FFFFFF"/>
        </w:rPr>
        <w:t xml:space="preserve">a </w:t>
      </w:r>
      <w:r w:rsidR="00DB157E" w:rsidRPr="003507D2">
        <w:rPr>
          <w:rFonts w:cstheme="minorHAnsi"/>
          <w:color w:val="202122"/>
          <w:shd w:val="clear" w:color="auto" w:fill="FFFFFF"/>
        </w:rPr>
        <w:t>quality examination of all the factors and circumstances related to the closure</w:t>
      </w:r>
      <w:r w:rsidR="007A5983" w:rsidRPr="003507D2">
        <w:rPr>
          <w:rFonts w:cstheme="minorHAnsi"/>
          <w:color w:val="202122"/>
          <w:shd w:val="clear" w:color="auto" w:fill="FFFFFF"/>
        </w:rPr>
        <w:t xml:space="preserve">, including </w:t>
      </w:r>
      <w:r w:rsidR="00DB157E" w:rsidRPr="003507D2">
        <w:rPr>
          <w:rFonts w:cstheme="minorHAnsi"/>
          <w:color w:val="202122"/>
          <w:shd w:val="clear" w:color="auto" w:fill="FFFFFF"/>
        </w:rPr>
        <w:t>the effec</w:t>
      </w:r>
      <w:r w:rsidR="007A5983" w:rsidRPr="003507D2">
        <w:rPr>
          <w:rFonts w:cstheme="minorHAnsi"/>
          <w:color w:val="202122"/>
          <w:shd w:val="clear" w:color="auto" w:fill="FFFFFF"/>
        </w:rPr>
        <w:t>ts on the victims</w:t>
      </w:r>
      <w:r w:rsidR="00DB157E" w:rsidRPr="003507D2">
        <w:rPr>
          <w:rFonts w:cstheme="minorHAnsi"/>
          <w:color w:val="202122"/>
          <w:shd w:val="clear" w:color="auto" w:fill="FFFFFF"/>
        </w:rPr>
        <w:t>.</w:t>
      </w:r>
    </w:p>
    <w:p w14:paraId="2E333BBA" w14:textId="7817556D" w:rsidR="00DB157E" w:rsidRPr="00634A0D" w:rsidRDefault="00C2166B" w:rsidP="00BB2449">
      <w:pPr>
        <w:spacing w:after="240"/>
        <w:rPr>
          <w:rFonts w:cstheme="minorHAnsi"/>
          <w:color w:val="202122"/>
          <w:shd w:val="clear" w:color="auto" w:fill="FFFFFF"/>
        </w:rPr>
      </w:pPr>
      <w:r w:rsidRPr="00591B7D">
        <w:rPr>
          <w:rFonts w:cstheme="minorHAnsi"/>
          <w:shd w:val="clear" w:color="auto" w:fill="FFFFFF"/>
        </w:rPr>
        <w:t xml:space="preserve">BWI </w:t>
      </w:r>
      <w:r w:rsidR="005C3D55" w:rsidRPr="00591B7D">
        <w:rPr>
          <w:rFonts w:cstheme="minorHAnsi"/>
          <w:shd w:val="clear" w:color="auto" w:fill="FFFFFF"/>
        </w:rPr>
        <w:t xml:space="preserve">claims that it </w:t>
      </w:r>
      <w:r w:rsidRPr="00591B7D">
        <w:rPr>
          <w:rFonts w:cstheme="minorHAnsi"/>
          <w:shd w:val="clear" w:color="auto" w:fill="FFFFFF"/>
        </w:rPr>
        <w:t>has</w:t>
      </w:r>
      <w:r w:rsidR="000331F9" w:rsidRPr="00591B7D">
        <w:rPr>
          <w:rFonts w:cstheme="minorHAnsi"/>
          <w:shd w:val="clear" w:color="auto" w:fill="FFFFFF"/>
        </w:rPr>
        <w:t xml:space="preserve"> </w:t>
      </w:r>
      <w:r w:rsidR="00394CA7" w:rsidRPr="00591B7D">
        <w:rPr>
          <w:rFonts w:cstheme="minorHAnsi"/>
          <w:shd w:val="clear" w:color="auto" w:fill="FFFFFF"/>
        </w:rPr>
        <w:t xml:space="preserve">signed </w:t>
      </w:r>
      <w:r w:rsidRPr="00591B7D">
        <w:rPr>
          <w:rFonts w:cstheme="minorHAnsi"/>
          <w:shd w:val="clear" w:color="auto" w:fill="FFFFFF"/>
        </w:rPr>
        <w:t xml:space="preserve">an International Framework Agreement </w:t>
      </w:r>
      <w:r w:rsidR="00B02BAF" w:rsidRPr="00591B7D">
        <w:rPr>
          <w:rFonts w:cstheme="minorHAnsi"/>
          <w:shd w:val="clear" w:color="auto" w:fill="FFFFFF"/>
        </w:rPr>
        <w:t xml:space="preserve">(IFA) </w:t>
      </w:r>
      <w:r w:rsidRPr="00591B7D">
        <w:rPr>
          <w:rFonts w:cstheme="minorHAnsi"/>
          <w:shd w:val="clear" w:color="auto" w:fill="FFFFFF"/>
        </w:rPr>
        <w:t xml:space="preserve">with </w:t>
      </w:r>
      <w:r w:rsidR="00D773A9" w:rsidRPr="00591B7D">
        <w:rPr>
          <w:rFonts w:cstheme="minorHAnsi"/>
          <w:shd w:val="clear" w:color="auto" w:fill="FFFFFF"/>
        </w:rPr>
        <w:t>IKEA</w:t>
      </w:r>
      <w:r w:rsidRPr="00591B7D">
        <w:rPr>
          <w:rFonts w:cstheme="minorHAnsi"/>
          <w:shd w:val="clear" w:color="auto" w:fill="FFFFFF"/>
        </w:rPr>
        <w:t xml:space="preserve"> in 2003 and </w:t>
      </w:r>
      <w:r w:rsidR="00394CA7" w:rsidRPr="00591B7D">
        <w:rPr>
          <w:rFonts w:cstheme="minorHAnsi"/>
          <w:shd w:val="clear" w:color="auto" w:fill="FFFFFF"/>
        </w:rPr>
        <w:t xml:space="preserve">has </w:t>
      </w:r>
      <w:r w:rsidRPr="00591B7D">
        <w:rPr>
          <w:rFonts w:cstheme="minorHAnsi"/>
          <w:shd w:val="clear" w:color="auto" w:fill="FFFFFF"/>
        </w:rPr>
        <w:t>renegotiated</w:t>
      </w:r>
      <w:r w:rsidR="00394CA7" w:rsidRPr="00591B7D">
        <w:rPr>
          <w:rFonts w:cstheme="minorHAnsi"/>
          <w:shd w:val="clear" w:color="auto" w:fill="FFFFFF"/>
        </w:rPr>
        <w:t xml:space="preserve"> it</w:t>
      </w:r>
      <w:r w:rsidRPr="00591B7D">
        <w:rPr>
          <w:rFonts w:cstheme="minorHAnsi"/>
          <w:shd w:val="clear" w:color="auto" w:fill="FFFFFF"/>
        </w:rPr>
        <w:t xml:space="preserve"> in 2013-2014, but the latter was never signed. It provides </w:t>
      </w:r>
      <w:r w:rsidRPr="00634A0D">
        <w:rPr>
          <w:rFonts w:cstheme="minorHAnsi"/>
          <w:color w:val="202122"/>
          <w:shd w:val="clear" w:color="auto" w:fill="FFFFFF"/>
        </w:rPr>
        <w:t>a structure and a process to re</w:t>
      </w:r>
      <w:r w:rsidR="00B44B00" w:rsidRPr="00634A0D">
        <w:rPr>
          <w:rFonts w:cstheme="minorHAnsi"/>
          <w:color w:val="202122"/>
          <w:shd w:val="clear" w:color="auto" w:fill="FFFFFF"/>
        </w:rPr>
        <w:t xml:space="preserve">solve conflict, including expectations to take responsibility for associated human rights risks or impacts of its business partners, which is in line with </w:t>
      </w:r>
      <w:r w:rsidRPr="00634A0D">
        <w:rPr>
          <w:rFonts w:cstheme="minorHAnsi"/>
          <w:color w:val="202122"/>
          <w:shd w:val="clear" w:color="auto" w:fill="FFFFFF"/>
        </w:rPr>
        <w:t xml:space="preserve">human rights and due diligence requirements in the Guidelines. However, </w:t>
      </w:r>
      <w:r w:rsidR="005C3D55" w:rsidRPr="00634A0D">
        <w:rPr>
          <w:rFonts w:cstheme="minorHAnsi"/>
          <w:color w:val="202122"/>
          <w:shd w:val="clear" w:color="auto" w:fill="FFFFFF"/>
        </w:rPr>
        <w:t xml:space="preserve">according to BWI, </w:t>
      </w:r>
      <w:r w:rsidRPr="00634A0D">
        <w:rPr>
          <w:rFonts w:cstheme="minorHAnsi"/>
          <w:color w:val="202122"/>
          <w:shd w:val="clear" w:color="auto" w:fill="FFFFFF"/>
        </w:rPr>
        <w:t xml:space="preserve">Inter </w:t>
      </w:r>
      <w:r w:rsidR="00D773A9" w:rsidRPr="00634A0D">
        <w:rPr>
          <w:rFonts w:cstheme="minorHAnsi"/>
          <w:color w:val="202122"/>
          <w:shd w:val="clear" w:color="auto" w:fill="FFFFFF"/>
        </w:rPr>
        <w:t>IKEA</w:t>
      </w:r>
      <w:r w:rsidRPr="00634A0D">
        <w:rPr>
          <w:rFonts w:cstheme="minorHAnsi"/>
          <w:color w:val="202122"/>
          <w:shd w:val="clear" w:color="auto" w:fill="FFFFFF"/>
        </w:rPr>
        <w:t xml:space="preserve"> does not </w:t>
      </w:r>
      <w:r w:rsidR="00762554" w:rsidRPr="00634A0D">
        <w:rPr>
          <w:rFonts w:cstheme="minorHAnsi"/>
          <w:color w:val="202122"/>
          <w:shd w:val="clear" w:color="auto" w:fill="FFFFFF"/>
        </w:rPr>
        <w:t>recognize</w:t>
      </w:r>
      <w:r w:rsidRPr="00634A0D">
        <w:rPr>
          <w:rFonts w:cstheme="minorHAnsi"/>
          <w:color w:val="202122"/>
          <w:shd w:val="clear" w:color="auto" w:fill="FFFFFF"/>
        </w:rPr>
        <w:t xml:space="preserve"> </w:t>
      </w:r>
      <w:r w:rsidR="00B44B00" w:rsidRPr="00634A0D">
        <w:rPr>
          <w:rFonts w:cstheme="minorHAnsi"/>
          <w:color w:val="202122"/>
          <w:shd w:val="clear" w:color="auto" w:fill="FFFFFF"/>
        </w:rPr>
        <w:t xml:space="preserve">the </w:t>
      </w:r>
      <w:r w:rsidR="00B44B00" w:rsidRPr="00BC2FAA">
        <w:rPr>
          <w:rFonts w:cstheme="minorHAnsi"/>
          <w:shd w:val="clear" w:color="auto" w:fill="FFFFFF"/>
        </w:rPr>
        <w:t>IFA</w:t>
      </w:r>
      <w:r w:rsidR="00394CA7">
        <w:rPr>
          <w:rFonts w:cstheme="minorHAnsi"/>
          <w:color w:val="202122"/>
          <w:shd w:val="clear" w:color="auto" w:fill="FFFFFF"/>
        </w:rPr>
        <w:t>,</w:t>
      </w:r>
      <w:r w:rsidRPr="00634A0D">
        <w:rPr>
          <w:rFonts w:cstheme="minorHAnsi"/>
          <w:color w:val="202122"/>
          <w:shd w:val="clear" w:color="auto" w:fill="FFFFFF"/>
        </w:rPr>
        <w:t xml:space="preserve"> and</w:t>
      </w:r>
      <w:r w:rsidR="00DD745F" w:rsidRPr="00634A0D">
        <w:rPr>
          <w:rFonts w:cstheme="minorHAnsi"/>
          <w:color w:val="202122"/>
          <w:shd w:val="clear" w:color="auto" w:fill="FFFFFF"/>
        </w:rPr>
        <w:t xml:space="preserve"> when BWI attempted to renegotiate it</w:t>
      </w:r>
      <w:r w:rsidR="00394CA7">
        <w:rPr>
          <w:rFonts w:cstheme="minorHAnsi"/>
          <w:color w:val="202122"/>
          <w:shd w:val="clear" w:color="auto" w:fill="FFFFFF"/>
        </w:rPr>
        <w:t>,</w:t>
      </w:r>
      <w:r w:rsidR="00DD745F" w:rsidRPr="00634A0D">
        <w:rPr>
          <w:rFonts w:cstheme="minorHAnsi"/>
          <w:color w:val="202122"/>
          <w:shd w:val="clear" w:color="auto" w:fill="FFFFFF"/>
        </w:rPr>
        <w:t xml:space="preserve"> Inter IKEA’s response proved neither meaningful nor effective. BWI also states that Inter IKEA </w:t>
      </w:r>
      <w:r w:rsidRPr="00634A0D">
        <w:rPr>
          <w:rFonts w:cstheme="minorHAnsi"/>
          <w:color w:val="202122"/>
          <w:shd w:val="clear" w:color="auto" w:fill="FFFFFF"/>
        </w:rPr>
        <w:t>do</w:t>
      </w:r>
      <w:r w:rsidR="00B44B00" w:rsidRPr="00634A0D">
        <w:rPr>
          <w:rFonts w:cstheme="minorHAnsi"/>
          <w:color w:val="202122"/>
          <w:shd w:val="clear" w:color="auto" w:fill="FFFFFF"/>
        </w:rPr>
        <w:t>es</w:t>
      </w:r>
      <w:r w:rsidRPr="00634A0D">
        <w:rPr>
          <w:rFonts w:cstheme="minorHAnsi"/>
          <w:color w:val="202122"/>
          <w:shd w:val="clear" w:color="auto" w:fill="FFFFFF"/>
        </w:rPr>
        <w:t xml:space="preserve"> not make </w:t>
      </w:r>
      <w:r w:rsidR="001F1752" w:rsidRPr="00634A0D">
        <w:rPr>
          <w:rFonts w:cstheme="minorHAnsi"/>
          <w:color w:val="202122"/>
          <w:shd w:val="clear" w:color="auto" w:fill="FFFFFF"/>
        </w:rPr>
        <w:t>supplier information available and i</w:t>
      </w:r>
      <w:r w:rsidR="00D773A9" w:rsidRPr="00634A0D">
        <w:rPr>
          <w:rFonts w:cstheme="minorHAnsi"/>
          <w:color w:val="202122"/>
          <w:shd w:val="clear" w:color="auto" w:fill="FFFFFF"/>
        </w:rPr>
        <w:t>n IKEA’s code of conduct</w:t>
      </w:r>
      <w:r w:rsidR="00DB157E" w:rsidRPr="00634A0D">
        <w:rPr>
          <w:rFonts w:cstheme="minorHAnsi"/>
          <w:color w:val="202122"/>
          <w:shd w:val="clear" w:color="auto" w:fill="FFFFFF"/>
        </w:rPr>
        <w:t xml:space="preserve"> “IWAY”</w:t>
      </w:r>
      <w:r w:rsidR="00D773A9" w:rsidRPr="00634A0D">
        <w:rPr>
          <w:rFonts w:cstheme="minorHAnsi"/>
          <w:color w:val="202122"/>
          <w:shd w:val="clear" w:color="auto" w:fill="FFFFFF"/>
        </w:rPr>
        <w:t xml:space="preserve"> </w:t>
      </w:r>
      <w:r w:rsidR="00364FE8">
        <w:rPr>
          <w:rFonts w:cstheme="minorHAnsi"/>
          <w:color w:val="202122"/>
          <w:shd w:val="clear" w:color="auto" w:fill="FFFFFF"/>
        </w:rPr>
        <w:t xml:space="preserve">neither </w:t>
      </w:r>
      <w:r w:rsidR="00DB157E" w:rsidRPr="00634A0D">
        <w:rPr>
          <w:rFonts w:cstheme="minorHAnsi"/>
          <w:color w:val="202122"/>
          <w:shd w:val="clear" w:color="auto" w:fill="FFFFFF"/>
        </w:rPr>
        <w:t xml:space="preserve">the UN Guiding Principles on Business and Human </w:t>
      </w:r>
      <w:r w:rsidR="00D21E78" w:rsidRPr="00634A0D">
        <w:rPr>
          <w:rFonts w:cstheme="minorHAnsi"/>
          <w:color w:val="202122"/>
          <w:shd w:val="clear" w:color="auto" w:fill="FFFFFF"/>
        </w:rPr>
        <w:t xml:space="preserve">Dutch NCP </w:t>
      </w:r>
      <w:r w:rsidR="00DB157E" w:rsidRPr="00634A0D">
        <w:rPr>
          <w:rFonts w:cstheme="minorHAnsi"/>
          <w:color w:val="202122"/>
          <w:shd w:val="clear" w:color="auto" w:fill="FFFFFF"/>
        </w:rPr>
        <w:t xml:space="preserve">Rights </w:t>
      </w:r>
      <w:r w:rsidR="00DD745F" w:rsidRPr="00634A0D">
        <w:rPr>
          <w:rFonts w:cstheme="minorHAnsi"/>
          <w:color w:val="202122"/>
          <w:shd w:val="clear" w:color="auto" w:fill="FFFFFF"/>
        </w:rPr>
        <w:t xml:space="preserve">nor </w:t>
      </w:r>
      <w:r w:rsidR="00DB157E" w:rsidRPr="00634A0D">
        <w:rPr>
          <w:rFonts w:cstheme="minorHAnsi"/>
          <w:color w:val="202122"/>
          <w:shd w:val="clear" w:color="auto" w:fill="FFFFFF"/>
        </w:rPr>
        <w:t xml:space="preserve">the </w:t>
      </w:r>
      <w:r w:rsidR="00B44B00" w:rsidRPr="00634A0D">
        <w:rPr>
          <w:rFonts w:cstheme="minorHAnsi"/>
          <w:color w:val="202122"/>
          <w:shd w:val="clear" w:color="auto" w:fill="FFFFFF"/>
        </w:rPr>
        <w:t>Guidelines</w:t>
      </w:r>
      <w:r w:rsidR="00DD745F" w:rsidRPr="00634A0D">
        <w:rPr>
          <w:rFonts w:cstheme="minorHAnsi"/>
          <w:color w:val="202122"/>
          <w:shd w:val="clear" w:color="auto" w:fill="FFFFFF"/>
        </w:rPr>
        <w:t xml:space="preserve"> are mentioned</w:t>
      </w:r>
      <w:r w:rsidR="00DB157E" w:rsidRPr="00634A0D">
        <w:rPr>
          <w:rFonts w:cstheme="minorHAnsi"/>
          <w:color w:val="202122"/>
          <w:shd w:val="clear" w:color="auto" w:fill="FFFFFF"/>
        </w:rPr>
        <w:t xml:space="preserve">.  </w:t>
      </w:r>
    </w:p>
    <w:p w14:paraId="4A51D722" w14:textId="77777777" w:rsidR="00BB2B41" w:rsidRDefault="00BB2B41">
      <w:pPr>
        <w:rPr>
          <w:rFonts w:cstheme="minorHAnsi"/>
          <w:color w:val="202122"/>
          <w:shd w:val="clear" w:color="auto" w:fill="FFFFFF"/>
        </w:rPr>
      </w:pPr>
      <w:r>
        <w:rPr>
          <w:rFonts w:cstheme="minorHAnsi"/>
          <w:color w:val="202122"/>
          <w:shd w:val="clear" w:color="auto" w:fill="FFFFFF"/>
        </w:rPr>
        <w:br w:type="page"/>
      </w:r>
    </w:p>
    <w:p w14:paraId="1EFB7A4A" w14:textId="031B5328" w:rsidR="00DB157E" w:rsidRPr="00634A0D" w:rsidRDefault="00AD6F00" w:rsidP="00BB2449">
      <w:pPr>
        <w:spacing w:after="240"/>
        <w:rPr>
          <w:rFonts w:cstheme="minorHAnsi"/>
          <w:color w:val="202122"/>
          <w:shd w:val="clear" w:color="auto" w:fill="FFFFFF"/>
        </w:rPr>
      </w:pPr>
      <w:r w:rsidRPr="00634A0D">
        <w:rPr>
          <w:rFonts w:cstheme="minorHAnsi"/>
          <w:color w:val="202122"/>
          <w:shd w:val="clear" w:color="auto" w:fill="FFFFFF"/>
        </w:rPr>
        <w:lastRenderedPageBreak/>
        <w:t>The notifying parties claim that</w:t>
      </w:r>
      <w:r w:rsidR="00DB157E" w:rsidRPr="00634A0D">
        <w:rPr>
          <w:rFonts w:cstheme="minorHAnsi"/>
          <w:color w:val="202122"/>
          <w:shd w:val="clear" w:color="auto" w:fill="FFFFFF"/>
        </w:rPr>
        <w:t xml:space="preserve"> the decision </w:t>
      </w:r>
      <w:r w:rsidR="00C2166B" w:rsidRPr="00634A0D">
        <w:rPr>
          <w:rFonts w:cstheme="minorHAnsi"/>
          <w:color w:val="202122"/>
          <w:shd w:val="clear" w:color="auto" w:fill="FFFFFF"/>
        </w:rPr>
        <w:t xml:space="preserve">to close the Danville facility </w:t>
      </w:r>
      <w:r w:rsidR="00DB157E" w:rsidRPr="00634A0D">
        <w:rPr>
          <w:rFonts w:cstheme="minorHAnsi"/>
          <w:color w:val="202122"/>
          <w:shd w:val="clear" w:color="auto" w:fill="FFFFFF"/>
        </w:rPr>
        <w:t xml:space="preserve">was made </w:t>
      </w:r>
      <w:r w:rsidR="00E87E7C" w:rsidRPr="00634A0D">
        <w:rPr>
          <w:rFonts w:cstheme="minorHAnsi"/>
          <w:color w:val="202122"/>
          <w:shd w:val="clear" w:color="auto" w:fill="FFFFFF"/>
        </w:rPr>
        <w:t>under the responsibility of the parent company</w:t>
      </w:r>
      <w:r w:rsidR="00DB157E" w:rsidRPr="00634A0D">
        <w:rPr>
          <w:rFonts w:cstheme="minorHAnsi"/>
          <w:color w:val="202122"/>
          <w:shd w:val="clear" w:color="auto" w:fill="FFFFFF"/>
        </w:rPr>
        <w:t xml:space="preserve"> I</w:t>
      </w:r>
      <w:r w:rsidR="00C2166B" w:rsidRPr="00634A0D">
        <w:rPr>
          <w:rFonts w:cstheme="minorHAnsi"/>
          <w:color w:val="202122"/>
          <w:shd w:val="clear" w:color="auto" w:fill="FFFFFF"/>
        </w:rPr>
        <w:t xml:space="preserve">nter </w:t>
      </w:r>
      <w:r w:rsidR="00D773A9" w:rsidRPr="00634A0D">
        <w:rPr>
          <w:rFonts w:cstheme="minorHAnsi"/>
          <w:color w:val="202122"/>
          <w:shd w:val="clear" w:color="auto" w:fill="FFFFFF"/>
        </w:rPr>
        <w:t>IKEA</w:t>
      </w:r>
      <w:r w:rsidR="00C2166B" w:rsidRPr="00634A0D">
        <w:rPr>
          <w:rFonts w:cstheme="minorHAnsi"/>
          <w:color w:val="202122"/>
          <w:shd w:val="clear" w:color="auto" w:fill="FFFFFF"/>
        </w:rPr>
        <w:t xml:space="preserve"> and therefore c</w:t>
      </w:r>
      <w:r w:rsidR="00DB157E" w:rsidRPr="00634A0D">
        <w:rPr>
          <w:rFonts w:cstheme="minorHAnsi"/>
          <w:color w:val="202122"/>
          <w:shd w:val="clear" w:color="auto" w:fill="FFFFFF"/>
        </w:rPr>
        <w:t>onsider that the actual infringement took place in</w:t>
      </w:r>
      <w:r w:rsidR="00553E22" w:rsidRPr="00634A0D">
        <w:rPr>
          <w:rFonts w:cstheme="minorHAnsi"/>
          <w:color w:val="202122"/>
          <w:shd w:val="clear" w:color="auto" w:fill="FFFFFF"/>
        </w:rPr>
        <w:t xml:space="preserve"> </w:t>
      </w:r>
      <w:r w:rsidR="00DB157E" w:rsidRPr="00634A0D">
        <w:rPr>
          <w:rFonts w:cstheme="minorHAnsi"/>
          <w:color w:val="202122"/>
          <w:shd w:val="clear" w:color="auto" w:fill="FFFFFF"/>
        </w:rPr>
        <w:t>t</w:t>
      </w:r>
      <w:r w:rsidR="00553E22" w:rsidRPr="00634A0D">
        <w:rPr>
          <w:rFonts w:cstheme="minorHAnsi"/>
          <w:color w:val="202122"/>
          <w:shd w:val="clear" w:color="auto" w:fill="FFFFFF"/>
        </w:rPr>
        <w:t>he</w:t>
      </w:r>
      <w:r w:rsidR="00DB157E" w:rsidRPr="00634A0D">
        <w:rPr>
          <w:rFonts w:cstheme="minorHAnsi"/>
          <w:color w:val="202122"/>
          <w:shd w:val="clear" w:color="auto" w:fill="FFFFFF"/>
        </w:rPr>
        <w:t xml:space="preserve"> Netherlands, </w:t>
      </w:r>
      <w:r w:rsidR="00C2166B" w:rsidRPr="00634A0D">
        <w:rPr>
          <w:rFonts w:cstheme="minorHAnsi"/>
          <w:color w:val="202122"/>
          <w:shd w:val="clear" w:color="auto" w:fill="FFFFFF"/>
        </w:rPr>
        <w:t xml:space="preserve">and therefore </w:t>
      </w:r>
      <w:r w:rsidR="000331F9" w:rsidRPr="00634A0D">
        <w:rPr>
          <w:rFonts w:cstheme="minorHAnsi"/>
          <w:color w:val="202122"/>
          <w:shd w:val="clear" w:color="auto" w:fill="FFFFFF"/>
        </w:rPr>
        <w:t>consider</w:t>
      </w:r>
      <w:r w:rsidR="00DB157E" w:rsidRPr="00634A0D">
        <w:rPr>
          <w:rFonts w:cstheme="minorHAnsi"/>
          <w:color w:val="202122"/>
          <w:shd w:val="clear" w:color="auto" w:fill="FFFFFF"/>
        </w:rPr>
        <w:t xml:space="preserve"> the as </w:t>
      </w:r>
      <w:r w:rsidR="00C2166B" w:rsidRPr="00634A0D">
        <w:rPr>
          <w:rFonts w:cstheme="minorHAnsi"/>
          <w:color w:val="202122"/>
          <w:shd w:val="clear" w:color="auto" w:fill="FFFFFF"/>
        </w:rPr>
        <w:t xml:space="preserve">the </w:t>
      </w:r>
      <w:r w:rsidR="00DB157E" w:rsidRPr="00634A0D">
        <w:rPr>
          <w:rFonts w:cstheme="minorHAnsi"/>
          <w:color w:val="202122"/>
          <w:shd w:val="clear" w:color="auto" w:fill="FFFFFF"/>
        </w:rPr>
        <w:t>appropriate entity</w:t>
      </w:r>
      <w:r w:rsidR="00C2166B" w:rsidRPr="00634A0D">
        <w:rPr>
          <w:rFonts w:cstheme="minorHAnsi"/>
          <w:color w:val="202122"/>
          <w:shd w:val="clear" w:color="auto" w:fill="FFFFFF"/>
        </w:rPr>
        <w:t xml:space="preserve"> to handle the specific instance</w:t>
      </w:r>
      <w:r w:rsidR="00DB157E" w:rsidRPr="00634A0D">
        <w:rPr>
          <w:rFonts w:cstheme="minorHAnsi"/>
          <w:color w:val="202122"/>
          <w:shd w:val="clear" w:color="auto" w:fill="FFFFFF"/>
        </w:rPr>
        <w:t>.</w:t>
      </w:r>
    </w:p>
    <w:p w14:paraId="308F2726" w14:textId="0B4CFA97" w:rsidR="00DB157E" w:rsidRPr="00D773A9" w:rsidRDefault="00C2166B" w:rsidP="00BB2449">
      <w:pPr>
        <w:spacing w:after="240"/>
        <w:rPr>
          <w:color w:val="202122"/>
          <w:shd w:val="clear" w:color="auto" w:fill="FFFFFF"/>
        </w:rPr>
      </w:pPr>
      <w:r w:rsidRPr="0A0F3908">
        <w:rPr>
          <w:color w:val="202122"/>
          <w:shd w:val="clear" w:color="auto" w:fill="FFFFFF"/>
        </w:rPr>
        <w:t>The notifying parties ex</w:t>
      </w:r>
      <w:r w:rsidR="00DB157E" w:rsidRPr="0A0F3908">
        <w:rPr>
          <w:color w:val="202122"/>
          <w:shd w:val="clear" w:color="auto" w:fill="FFFFFF"/>
        </w:rPr>
        <w:t>pect the NCP to offer mediation to resolve differences and to com</w:t>
      </w:r>
      <w:r w:rsidRPr="0A0F3908">
        <w:rPr>
          <w:color w:val="202122"/>
          <w:shd w:val="clear" w:color="auto" w:fill="FFFFFF"/>
        </w:rPr>
        <w:t>e to a resolution settlement</w:t>
      </w:r>
      <w:r w:rsidR="00B02BAF" w:rsidRPr="0A0F3908">
        <w:rPr>
          <w:color w:val="202122"/>
          <w:shd w:val="clear" w:color="auto" w:fill="FFFFFF"/>
        </w:rPr>
        <w:t xml:space="preserve"> leading </w:t>
      </w:r>
      <w:r w:rsidR="00B02BAF" w:rsidRPr="00617351">
        <w:rPr>
          <w:color w:val="202122"/>
          <w:shd w:val="clear" w:color="auto" w:fill="FFFFFF"/>
        </w:rPr>
        <w:t xml:space="preserve">to </w:t>
      </w:r>
      <w:r w:rsidR="00D773A9" w:rsidRPr="00617351">
        <w:rPr>
          <w:color w:val="202122"/>
          <w:shd w:val="clear" w:color="auto" w:fill="FFFFFF"/>
        </w:rPr>
        <w:t xml:space="preserve">a) recognition of </w:t>
      </w:r>
      <w:r w:rsidR="008F5E96" w:rsidRPr="00617351">
        <w:rPr>
          <w:color w:val="202122"/>
          <w:shd w:val="clear" w:color="auto" w:fill="FFFFFF"/>
        </w:rPr>
        <w:t xml:space="preserve">the, alleged, non-observance of </w:t>
      </w:r>
      <w:r w:rsidR="00642051" w:rsidRPr="00617351">
        <w:rPr>
          <w:color w:val="202122"/>
          <w:shd w:val="clear" w:color="auto" w:fill="FFFFFF"/>
        </w:rPr>
        <w:t xml:space="preserve">the </w:t>
      </w:r>
      <w:r w:rsidR="008F5E96" w:rsidRPr="00617351">
        <w:rPr>
          <w:color w:val="202122"/>
          <w:shd w:val="clear" w:color="auto" w:fill="FFFFFF"/>
        </w:rPr>
        <w:t xml:space="preserve">Guidelines </w:t>
      </w:r>
      <w:r w:rsidR="00D773A9" w:rsidRPr="00617351">
        <w:rPr>
          <w:color w:val="202122"/>
          <w:shd w:val="clear" w:color="auto" w:fill="FFFFFF"/>
        </w:rPr>
        <w:t xml:space="preserve">in the procedure followed in the Danville closure; b) </w:t>
      </w:r>
      <w:r w:rsidR="00B02BAF" w:rsidRPr="00617351">
        <w:rPr>
          <w:color w:val="202122"/>
          <w:shd w:val="clear" w:color="auto" w:fill="FFFFFF"/>
        </w:rPr>
        <w:t xml:space="preserve">a Memorandum of Understanding establishing the right to represent workers of a future facility in </w:t>
      </w:r>
      <w:proofErr w:type="gramStart"/>
      <w:r w:rsidR="00B02BAF" w:rsidRPr="00617351">
        <w:rPr>
          <w:color w:val="202122"/>
          <w:shd w:val="clear" w:color="auto" w:fill="FFFFFF"/>
        </w:rPr>
        <w:t>North-America</w:t>
      </w:r>
      <w:proofErr w:type="gramEnd"/>
      <w:r w:rsidR="00D773A9" w:rsidRPr="00617351">
        <w:rPr>
          <w:color w:val="202122"/>
          <w:shd w:val="clear" w:color="auto" w:fill="FFFFFF"/>
        </w:rPr>
        <w:t>,</w:t>
      </w:r>
      <w:r w:rsidR="00B02BAF" w:rsidRPr="00617351">
        <w:rPr>
          <w:color w:val="202122"/>
          <w:shd w:val="clear" w:color="auto" w:fill="FFFFFF"/>
        </w:rPr>
        <w:t xml:space="preserve"> and</w:t>
      </w:r>
      <w:r w:rsidR="00D773A9" w:rsidRPr="00617351">
        <w:rPr>
          <w:color w:val="202122"/>
          <w:shd w:val="clear" w:color="auto" w:fill="FFFFFF"/>
        </w:rPr>
        <w:t>;</w:t>
      </w:r>
      <w:r w:rsidR="00B02BAF" w:rsidRPr="00617351">
        <w:rPr>
          <w:color w:val="202122"/>
          <w:shd w:val="clear" w:color="auto" w:fill="FFFFFF"/>
        </w:rPr>
        <w:t xml:space="preserve"> </w:t>
      </w:r>
      <w:r w:rsidR="00D773A9" w:rsidRPr="00617351">
        <w:rPr>
          <w:color w:val="202122"/>
          <w:shd w:val="clear" w:color="auto" w:fill="FFFFFF"/>
        </w:rPr>
        <w:t xml:space="preserve">c) </w:t>
      </w:r>
      <w:r w:rsidR="00B02BAF" w:rsidRPr="00617351">
        <w:rPr>
          <w:color w:val="202122"/>
          <w:shd w:val="clear" w:color="auto" w:fill="FFFFFF"/>
        </w:rPr>
        <w:t>the</w:t>
      </w:r>
      <w:r w:rsidR="00B02BAF" w:rsidRPr="0A0F3908">
        <w:rPr>
          <w:color w:val="202122"/>
          <w:shd w:val="clear" w:color="auto" w:fill="FFFFFF"/>
        </w:rPr>
        <w:t xml:space="preserve"> signing of a renegotiated IFA</w:t>
      </w:r>
      <w:r w:rsidRPr="0A0F3908">
        <w:rPr>
          <w:color w:val="202122"/>
          <w:shd w:val="clear" w:color="auto" w:fill="FFFFFF"/>
        </w:rPr>
        <w:t xml:space="preserve">. </w:t>
      </w:r>
      <w:r w:rsidR="008F5E96" w:rsidRPr="0A0F3908">
        <w:rPr>
          <w:color w:val="202122"/>
          <w:shd w:val="clear" w:color="auto" w:fill="FFFFFF"/>
        </w:rPr>
        <w:t>The notifying parties</w:t>
      </w:r>
      <w:r w:rsidR="00DB157E" w:rsidRPr="0A0F3908">
        <w:rPr>
          <w:color w:val="202122"/>
          <w:shd w:val="clear" w:color="auto" w:fill="FFFFFF"/>
        </w:rPr>
        <w:t xml:space="preserve"> </w:t>
      </w:r>
      <w:r w:rsidR="008F5E96" w:rsidRPr="0A0F3908">
        <w:rPr>
          <w:color w:val="202122"/>
          <w:shd w:val="clear" w:color="auto" w:fill="FFFFFF"/>
        </w:rPr>
        <w:t>e</w:t>
      </w:r>
      <w:r w:rsidR="008F5E96" w:rsidRPr="0A0F3908">
        <w:rPr>
          <w:rStyle w:val="s19"/>
          <w:rFonts w:eastAsia="Times New Roman"/>
          <w:color w:val="202122"/>
          <w:shd w:val="clear" w:color="auto" w:fill="FFFFFF"/>
        </w:rPr>
        <w:t xml:space="preserve">xpect Inter IKEA to actively take part in the mediation </w:t>
      </w:r>
      <w:r w:rsidR="006F1E40" w:rsidRPr="0A0F3908">
        <w:rPr>
          <w:rStyle w:val="s19"/>
          <w:rFonts w:eastAsia="Times New Roman"/>
          <w:color w:val="202122"/>
          <w:shd w:val="clear" w:color="auto" w:fill="FFFFFF"/>
        </w:rPr>
        <w:t xml:space="preserve">with the objective </w:t>
      </w:r>
      <w:r w:rsidR="008F5E96" w:rsidRPr="0A0F3908">
        <w:rPr>
          <w:rStyle w:val="s19"/>
          <w:rFonts w:eastAsia="Times New Roman"/>
          <w:color w:val="202122"/>
          <w:shd w:val="clear" w:color="auto" w:fill="FFFFFF"/>
        </w:rPr>
        <w:t xml:space="preserve">to ensure </w:t>
      </w:r>
      <w:r w:rsidR="00DB157E" w:rsidRPr="0A0F3908">
        <w:rPr>
          <w:color w:val="202122"/>
          <w:shd w:val="clear" w:color="auto" w:fill="FFFFFF"/>
        </w:rPr>
        <w:t xml:space="preserve">that Inter </w:t>
      </w:r>
      <w:r w:rsidR="00D773A9" w:rsidRPr="0A0F3908">
        <w:rPr>
          <w:color w:val="202122"/>
          <w:shd w:val="clear" w:color="auto" w:fill="FFFFFF"/>
        </w:rPr>
        <w:t>IKEA</w:t>
      </w:r>
      <w:r w:rsidR="00DB157E" w:rsidRPr="0A0F3908">
        <w:rPr>
          <w:color w:val="202122"/>
          <w:shd w:val="clear" w:color="auto" w:fill="FFFFFF"/>
        </w:rPr>
        <w:t xml:space="preserve"> in the future effectively recognize</w:t>
      </w:r>
      <w:r w:rsidRPr="0A0F3908">
        <w:rPr>
          <w:color w:val="202122"/>
          <w:shd w:val="clear" w:color="auto" w:fill="FFFFFF"/>
        </w:rPr>
        <w:t>s</w:t>
      </w:r>
      <w:r w:rsidR="00DB157E" w:rsidRPr="0A0F3908">
        <w:rPr>
          <w:color w:val="202122"/>
          <w:shd w:val="clear" w:color="auto" w:fill="FFFFFF"/>
        </w:rPr>
        <w:t xml:space="preserve"> the right of the affected workers to be informed and consulted prior to making a final decision on labour </w:t>
      </w:r>
      <w:r w:rsidR="00553E22" w:rsidRPr="0A0F3908">
        <w:rPr>
          <w:color w:val="202122"/>
          <w:shd w:val="clear" w:color="auto" w:fill="FFFFFF"/>
        </w:rPr>
        <w:t>practices</w:t>
      </w:r>
      <w:r w:rsidR="00DB157E" w:rsidRPr="0A0F3908">
        <w:rPr>
          <w:color w:val="202122"/>
          <w:shd w:val="clear" w:color="auto" w:fill="FFFFFF"/>
        </w:rPr>
        <w:t xml:space="preserve">, in such a manner that the affected workers and their chosen representatives (trade unions) can have a meaningful influence on the final decision. </w:t>
      </w:r>
      <w:r w:rsidRPr="0A0F3908">
        <w:rPr>
          <w:color w:val="202122"/>
          <w:shd w:val="clear" w:color="auto" w:fill="FFFFFF"/>
        </w:rPr>
        <w:t>Moreover, they expe</w:t>
      </w:r>
      <w:r w:rsidR="00D904D5" w:rsidRPr="0A0F3908">
        <w:rPr>
          <w:color w:val="202122"/>
          <w:shd w:val="clear" w:color="auto" w:fill="FFFFFF"/>
        </w:rPr>
        <w:t>c</w:t>
      </w:r>
      <w:r w:rsidRPr="0A0F3908">
        <w:rPr>
          <w:color w:val="202122"/>
          <w:shd w:val="clear" w:color="auto" w:fill="FFFFFF"/>
        </w:rPr>
        <w:t>t</w:t>
      </w:r>
      <w:r w:rsidR="00DB157E" w:rsidRPr="0A0F3908">
        <w:rPr>
          <w:color w:val="202122"/>
          <w:shd w:val="clear" w:color="auto" w:fill="FFFFFF"/>
        </w:rPr>
        <w:t xml:space="preserve"> Inter </w:t>
      </w:r>
      <w:r w:rsidR="00D773A9" w:rsidRPr="0A0F3908">
        <w:rPr>
          <w:color w:val="202122"/>
          <w:shd w:val="clear" w:color="auto" w:fill="FFFFFF"/>
        </w:rPr>
        <w:t>IKEA</w:t>
      </w:r>
      <w:r w:rsidR="00DB157E" w:rsidRPr="0A0F3908">
        <w:rPr>
          <w:color w:val="202122"/>
          <w:shd w:val="clear" w:color="auto" w:fill="FFFFFF"/>
        </w:rPr>
        <w:t xml:space="preserve"> to ensure that the right of workers to form or join trade unions and to bargain collectively is adequately </w:t>
      </w:r>
      <w:proofErr w:type="gramStart"/>
      <w:r w:rsidR="00DB157E" w:rsidRPr="0A0F3908">
        <w:rPr>
          <w:color w:val="202122"/>
          <w:shd w:val="clear" w:color="auto" w:fill="FFFFFF"/>
        </w:rPr>
        <w:t>taken into account</w:t>
      </w:r>
      <w:proofErr w:type="gramEnd"/>
      <w:r w:rsidR="00DB157E" w:rsidRPr="0A0F3908">
        <w:rPr>
          <w:color w:val="202122"/>
          <w:shd w:val="clear" w:color="auto" w:fill="FFFFFF"/>
        </w:rPr>
        <w:t xml:space="preserve"> by all group members when making decisions over labour practices and</w:t>
      </w:r>
      <w:r w:rsidR="00D904D5" w:rsidRPr="0A0F3908">
        <w:rPr>
          <w:color w:val="202122"/>
          <w:shd w:val="clear" w:color="auto" w:fill="FFFFFF"/>
        </w:rPr>
        <w:t>,</w:t>
      </w:r>
      <w:r w:rsidR="00DB157E" w:rsidRPr="0A0F3908">
        <w:rPr>
          <w:color w:val="202122"/>
          <w:shd w:val="clear" w:color="auto" w:fill="FFFFFF"/>
        </w:rPr>
        <w:t xml:space="preserve"> especially</w:t>
      </w:r>
      <w:r w:rsidR="00D904D5" w:rsidRPr="0A0F3908">
        <w:rPr>
          <w:color w:val="202122"/>
          <w:shd w:val="clear" w:color="auto" w:fill="FFFFFF"/>
        </w:rPr>
        <w:t>,</w:t>
      </w:r>
      <w:r w:rsidR="00DB157E" w:rsidRPr="0A0F3908">
        <w:rPr>
          <w:color w:val="202122"/>
          <w:shd w:val="clear" w:color="auto" w:fill="FFFFFF"/>
        </w:rPr>
        <w:t xml:space="preserve"> when entering or maintaining business relationships, whether that is in the supply chain or in granting franchises.  </w:t>
      </w:r>
    </w:p>
    <w:p w14:paraId="1A9C2BA9" w14:textId="77777777" w:rsidR="00BB2449" w:rsidRPr="00BB2B41" w:rsidRDefault="00ED42E1" w:rsidP="004170D9">
      <w:pPr>
        <w:spacing w:after="0"/>
        <w:rPr>
          <w:b/>
        </w:rPr>
      </w:pPr>
      <w:r w:rsidRPr="00BB2B41">
        <w:rPr>
          <w:b/>
        </w:rPr>
        <w:t>Provisions of the Guidelines referred to in the specific instance</w:t>
      </w:r>
    </w:p>
    <w:p w14:paraId="78FD2311" w14:textId="5A3411D0" w:rsidR="00ED42E1" w:rsidRPr="00BB2449" w:rsidRDefault="00ED42E1" w:rsidP="00BB2449">
      <w:pPr>
        <w:spacing w:after="0"/>
        <w:rPr>
          <w:rFonts w:cstheme="majorBidi"/>
        </w:rPr>
      </w:pPr>
      <w:r>
        <w:t>Chapter V Employment and Industrial Relations, paragraph 2</w:t>
      </w:r>
      <w:r w:rsidR="00A961BA">
        <w:t>c</w:t>
      </w:r>
      <w:r>
        <w:t xml:space="preserve"> and 6.</w:t>
      </w:r>
    </w:p>
    <w:p w14:paraId="2CDE4660" w14:textId="75569713" w:rsidR="00ED42E1" w:rsidRPr="00EE7B82" w:rsidRDefault="00ED42E1" w:rsidP="00ED42E1">
      <w:pPr>
        <w:rPr>
          <w:rFonts w:cstheme="minorHAnsi"/>
          <w:i/>
        </w:rPr>
      </w:pPr>
      <w:r w:rsidRPr="00EE7B82">
        <w:rPr>
          <w:rFonts w:cstheme="minorHAnsi"/>
          <w:i/>
        </w:rPr>
        <w:t xml:space="preserve">“2. c) Provide information to workers and their representatives which enables them to obtain a true and fair view of the performance of the entity or, where appropriate, the </w:t>
      </w:r>
      <w:proofErr w:type="gramStart"/>
      <w:r w:rsidRPr="00EE7B82">
        <w:rPr>
          <w:rFonts w:cstheme="minorHAnsi"/>
          <w:i/>
        </w:rPr>
        <w:t>enterprise as a whole</w:t>
      </w:r>
      <w:proofErr w:type="gramEnd"/>
      <w:r w:rsidRPr="00EE7B82">
        <w:rPr>
          <w:rFonts w:cstheme="minorHAnsi"/>
          <w:i/>
        </w:rPr>
        <w:t xml:space="preserve">. </w:t>
      </w:r>
    </w:p>
    <w:p w14:paraId="663E9DAD" w14:textId="77777777" w:rsidR="00ED42E1" w:rsidRPr="003266AD" w:rsidRDefault="00ED42E1" w:rsidP="000B548B">
      <w:pPr>
        <w:spacing w:after="240"/>
        <w:rPr>
          <w:rFonts w:cstheme="minorHAnsi"/>
          <w:i/>
          <w:lang w:val="en-GB"/>
        </w:rPr>
      </w:pPr>
      <w:r w:rsidRPr="00EE7B82">
        <w:rPr>
          <w:rFonts w:cstheme="minorHAnsi"/>
          <w:i/>
        </w:rPr>
        <w:t xml:space="preserve">6. In considering changes in their operations which would have major employment effects, in particular in the case of the closure of an entity involving collective lay-offs or dismissals, provide reasonable notice of such changes to representatives of the workers in their employment and their </w:t>
      </w:r>
      <w:proofErr w:type="spellStart"/>
      <w:r w:rsidRPr="00EE7B82">
        <w:rPr>
          <w:rFonts w:cstheme="minorHAnsi"/>
          <w:i/>
        </w:rPr>
        <w:t>organisations</w:t>
      </w:r>
      <w:proofErr w:type="spellEnd"/>
      <w:r w:rsidRPr="00EE7B82">
        <w:rPr>
          <w:rFonts w:cstheme="minorHAnsi"/>
          <w:i/>
        </w:rPr>
        <w:t xml:space="preserve">, and, where appropriate, to the relevant governmental authorities, and co-operate with the worker representatives and appropriate governmental authorities so as to mitigate to the maximum extent practicable adverse effects. </w:t>
      </w:r>
      <w:proofErr w:type="gramStart"/>
      <w:r w:rsidRPr="00EE7B82">
        <w:rPr>
          <w:rFonts w:cstheme="minorHAnsi"/>
          <w:i/>
        </w:rPr>
        <w:t>In light of</w:t>
      </w:r>
      <w:proofErr w:type="gramEnd"/>
      <w:r w:rsidRPr="00EE7B82">
        <w:rPr>
          <w:rFonts w:cstheme="minorHAnsi"/>
          <w:i/>
        </w:rPr>
        <w:t xml:space="preserve"> the specific circumstances of each case, it would be appropriate if management were able to give such notice prior to the final decision being taken. Other means may also be employed to provide meaningful</w:t>
      </w:r>
      <w:r w:rsidRPr="003266AD">
        <w:rPr>
          <w:rFonts w:cstheme="minorHAnsi"/>
          <w:i/>
        </w:rPr>
        <w:t xml:space="preserve"> co-operation to mitigate the effects of such decisions.</w:t>
      </w:r>
      <w:r>
        <w:rPr>
          <w:rFonts w:cstheme="minorHAnsi"/>
          <w:i/>
        </w:rPr>
        <w:t>”</w:t>
      </w:r>
      <w:r w:rsidRPr="003266AD">
        <w:rPr>
          <w:rFonts w:cstheme="minorHAnsi"/>
          <w:i/>
        </w:rPr>
        <w:t xml:space="preserve">  </w:t>
      </w:r>
    </w:p>
    <w:p w14:paraId="1A614D5E" w14:textId="77777777" w:rsidR="007E3284" w:rsidRPr="00BB2B41" w:rsidRDefault="00555670" w:rsidP="004170D9">
      <w:pPr>
        <w:spacing w:after="0"/>
        <w:rPr>
          <w:b/>
        </w:rPr>
      </w:pPr>
      <w:r w:rsidRPr="00BB2B41">
        <w:rPr>
          <w:b/>
        </w:rPr>
        <w:t>The enterprise’s initial response</w:t>
      </w:r>
    </w:p>
    <w:p w14:paraId="21E1C6AC" w14:textId="72DB8D93" w:rsidR="00555670" w:rsidRPr="00090CE7" w:rsidRDefault="00090CE7" w:rsidP="000B548B">
      <w:pPr>
        <w:spacing w:after="240"/>
        <w:rPr>
          <w:rFonts w:cstheme="minorHAnsi"/>
        </w:rPr>
      </w:pPr>
      <w:r w:rsidRPr="00634A0D">
        <w:rPr>
          <w:rFonts w:cstheme="minorHAnsi"/>
        </w:rPr>
        <w:t>According to the enterprise, t</w:t>
      </w:r>
      <w:r w:rsidR="00555670" w:rsidRPr="00634A0D">
        <w:rPr>
          <w:rFonts w:cstheme="minorHAnsi"/>
        </w:rPr>
        <w:t xml:space="preserve">he decision to </w:t>
      </w:r>
      <w:r w:rsidR="00C43A25">
        <w:rPr>
          <w:rFonts w:cstheme="minorHAnsi"/>
        </w:rPr>
        <w:t>discontinue the production at</w:t>
      </w:r>
      <w:r w:rsidR="00555670" w:rsidRPr="00634A0D">
        <w:rPr>
          <w:rFonts w:cstheme="minorHAnsi"/>
        </w:rPr>
        <w:t xml:space="preserve"> the Danville facility </w:t>
      </w:r>
      <w:r w:rsidR="00C43A25">
        <w:rPr>
          <w:rFonts w:cstheme="minorHAnsi"/>
        </w:rPr>
        <w:t xml:space="preserve">and find a new responsible owner who could offer as many workplaces as possible </w:t>
      </w:r>
      <w:r w:rsidR="00555670" w:rsidRPr="00634A0D">
        <w:rPr>
          <w:rFonts w:cstheme="minorHAnsi"/>
        </w:rPr>
        <w:t xml:space="preserve">was </w:t>
      </w:r>
      <w:r w:rsidRPr="00634A0D">
        <w:rPr>
          <w:rFonts w:cstheme="minorHAnsi"/>
        </w:rPr>
        <w:t>made by the board of</w:t>
      </w:r>
      <w:r w:rsidR="00555670" w:rsidRPr="00634A0D">
        <w:rPr>
          <w:rFonts w:cstheme="minorHAnsi"/>
        </w:rPr>
        <w:t xml:space="preserve"> </w:t>
      </w:r>
      <w:r w:rsidR="00D773A9" w:rsidRPr="00634A0D">
        <w:rPr>
          <w:rFonts w:cstheme="minorHAnsi"/>
        </w:rPr>
        <w:t>IKEA</w:t>
      </w:r>
      <w:r w:rsidR="00555670" w:rsidRPr="00634A0D">
        <w:rPr>
          <w:rFonts w:cstheme="minorHAnsi"/>
        </w:rPr>
        <w:t xml:space="preserve"> Industry AB, a Swedish entity and subsidiary of Inter </w:t>
      </w:r>
      <w:r w:rsidR="00D773A9" w:rsidRPr="00634A0D">
        <w:rPr>
          <w:rFonts w:cstheme="minorHAnsi"/>
        </w:rPr>
        <w:t>IKEA</w:t>
      </w:r>
      <w:r w:rsidR="00555670" w:rsidRPr="00634A0D">
        <w:rPr>
          <w:rFonts w:cstheme="minorHAnsi"/>
        </w:rPr>
        <w:t xml:space="preserve">. </w:t>
      </w:r>
      <w:r w:rsidRPr="00634A0D">
        <w:rPr>
          <w:rFonts w:cstheme="minorHAnsi"/>
        </w:rPr>
        <w:t>Therefore</w:t>
      </w:r>
      <w:r w:rsidRPr="00634A0D">
        <w:rPr>
          <w:rStyle w:val="normaltextrun"/>
          <w:rFonts w:ascii="Noto IKEA Latin" w:hAnsi="Noto IKEA Latin"/>
          <w:sz w:val="20"/>
          <w:szCs w:val="20"/>
          <w:shd w:val="clear" w:color="auto" w:fill="FFFFFF"/>
          <w:lang w:val="en-GB"/>
        </w:rPr>
        <w:t>,</w:t>
      </w:r>
      <w:r w:rsidR="00555670" w:rsidRPr="00634A0D">
        <w:rPr>
          <w:rFonts w:cstheme="minorHAnsi"/>
        </w:rPr>
        <w:t xml:space="preserve"> the </w:t>
      </w:r>
      <w:r w:rsidR="007814AD" w:rsidRPr="00634A0D">
        <w:rPr>
          <w:rFonts w:cstheme="minorHAnsi"/>
        </w:rPr>
        <w:t xml:space="preserve">enterprise is of the opinion that the </w:t>
      </w:r>
      <w:r w:rsidR="00555670" w:rsidRPr="00634A0D">
        <w:rPr>
          <w:rFonts w:cstheme="minorHAnsi"/>
        </w:rPr>
        <w:t>notification should be handled</w:t>
      </w:r>
      <w:r w:rsidR="00555670">
        <w:rPr>
          <w:rFonts w:cstheme="minorHAnsi"/>
        </w:rPr>
        <w:t xml:space="preserve"> by the Swedish NCP.</w:t>
      </w:r>
      <w:r w:rsidR="00F5678F">
        <w:rPr>
          <w:rFonts w:cstheme="minorHAnsi"/>
        </w:rPr>
        <w:t xml:space="preserve"> </w:t>
      </w:r>
    </w:p>
    <w:p w14:paraId="3500D298" w14:textId="1B3BC47B" w:rsidR="00090CE7" w:rsidRPr="00090CE7" w:rsidRDefault="00090CE7" w:rsidP="00090CE7">
      <w:pPr>
        <w:rPr>
          <w:rFonts w:cstheme="minorHAnsi"/>
          <w:i/>
          <w:color w:val="202122"/>
          <w:shd w:val="clear" w:color="auto" w:fill="FFFFFF"/>
        </w:rPr>
      </w:pPr>
      <w:r>
        <w:rPr>
          <w:rFonts w:cstheme="minorHAnsi"/>
          <w:bCs/>
          <w:color w:val="202122"/>
          <w:shd w:val="clear" w:color="auto" w:fill="FFFFFF"/>
        </w:rPr>
        <w:t xml:space="preserve">Concerning the </w:t>
      </w:r>
      <w:r w:rsidR="00007E1D">
        <w:rPr>
          <w:rFonts w:cstheme="minorHAnsi"/>
          <w:bCs/>
          <w:color w:val="202122"/>
          <w:shd w:val="clear" w:color="auto" w:fill="FFFFFF"/>
        </w:rPr>
        <w:t>course of events that led to the decision</w:t>
      </w:r>
      <w:r>
        <w:rPr>
          <w:rFonts w:cstheme="minorHAnsi"/>
          <w:bCs/>
          <w:color w:val="202122"/>
          <w:shd w:val="clear" w:color="auto" w:fill="FFFFFF"/>
        </w:rPr>
        <w:t>, the enterprise states: “</w:t>
      </w:r>
      <w:r w:rsidR="00007E1D" w:rsidRPr="00007E1D">
        <w:rPr>
          <w:rFonts w:cstheme="minorHAnsi"/>
          <w:bCs/>
          <w:i/>
          <w:color w:val="202122"/>
          <w:shd w:val="clear" w:color="auto" w:fill="FFFFFF"/>
        </w:rPr>
        <w:t xml:space="preserve">The background of the decision was </w:t>
      </w:r>
      <w:r w:rsidRPr="00007E1D">
        <w:rPr>
          <w:rFonts w:cstheme="minorHAnsi"/>
          <w:bCs/>
          <w:i/>
          <w:color w:val="202122"/>
          <w:shd w:val="clear" w:color="auto" w:fill="FFFFFF"/>
        </w:rPr>
        <w:t>long-term business challenges, resulting in not being affor</w:t>
      </w:r>
      <w:r w:rsidRPr="00090CE7">
        <w:rPr>
          <w:rFonts w:cstheme="minorHAnsi"/>
          <w:bCs/>
          <w:i/>
          <w:color w:val="202122"/>
          <w:shd w:val="clear" w:color="auto" w:fill="FFFFFF"/>
        </w:rPr>
        <w:t xml:space="preserve">dable for </w:t>
      </w:r>
      <w:r w:rsidR="009F4C09">
        <w:rPr>
          <w:rFonts w:cstheme="minorHAnsi"/>
          <w:bCs/>
          <w:i/>
          <w:color w:val="202122"/>
          <w:shd w:val="clear" w:color="auto" w:fill="FFFFFF"/>
        </w:rPr>
        <w:t xml:space="preserve">the </w:t>
      </w:r>
      <w:r w:rsidRPr="00090CE7">
        <w:rPr>
          <w:rFonts w:cstheme="minorHAnsi"/>
          <w:bCs/>
          <w:i/>
          <w:color w:val="202122"/>
          <w:shd w:val="clear" w:color="auto" w:fill="FFFFFF"/>
        </w:rPr>
        <w:t xml:space="preserve">customers. Many actions were taken over several years to overcome the challenging situation. Throughout the years, these challenges were transparently addressed to local union representatives and co-workers, hence the decision to discontinue production and look for a responsible buyer of the facilities, was not unexpected. To further stimulate dialogue, the IKEA Industry site manager in Danville initiated additional union meetings in the autumn of 2018 continuing through 2019. </w:t>
      </w:r>
    </w:p>
    <w:p w14:paraId="7B9BF3BF" w14:textId="47042352" w:rsidR="00090CE7" w:rsidRPr="00090CE7" w:rsidRDefault="00090CE7" w:rsidP="00090CE7">
      <w:pPr>
        <w:rPr>
          <w:rFonts w:cstheme="minorHAnsi"/>
          <w:i/>
          <w:color w:val="202122"/>
          <w:shd w:val="clear" w:color="auto" w:fill="FFFFFF"/>
        </w:rPr>
      </w:pPr>
      <w:r w:rsidRPr="00090CE7">
        <w:rPr>
          <w:rFonts w:cstheme="minorHAnsi"/>
          <w:bCs/>
          <w:i/>
          <w:color w:val="202122"/>
          <w:shd w:val="clear" w:color="auto" w:fill="FFFFFF"/>
        </w:rPr>
        <w:lastRenderedPageBreak/>
        <w:t xml:space="preserve">In addition to the local union, </w:t>
      </w:r>
      <w:r w:rsidR="00007E1D">
        <w:rPr>
          <w:rFonts w:cstheme="minorHAnsi"/>
          <w:bCs/>
          <w:i/>
          <w:color w:val="202122"/>
          <w:shd w:val="clear" w:color="auto" w:fill="FFFFFF"/>
        </w:rPr>
        <w:t>there are</w:t>
      </w:r>
      <w:r w:rsidRPr="00090CE7">
        <w:rPr>
          <w:rFonts w:cstheme="minorHAnsi"/>
          <w:bCs/>
          <w:i/>
          <w:color w:val="202122"/>
          <w:shd w:val="clear" w:color="auto" w:fill="FFFFFF"/>
        </w:rPr>
        <w:t xml:space="preserve"> union representatives in the IKEA Industry Board where the decision was taken.</w:t>
      </w:r>
      <w:r w:rsidR="00007E1D">
        <w:rPr>
          <w:rFonts w:cstheme="minorHAnsi"/>
          <w:bCs/>
          <w:i/>
          <w:color w:val="202122"/>
          <w:shd w:val="clear" w:color="auto" w:fill="FFFFFF"/>
        </w:rPr>
        <w:t xml:space="preserve"> T</w:t>
      </w:r>
      <w:r w:rsidRPr="00090CE7">
        <w:rPr>
          <w:rFonts w:cstheme="minorHAnsi"/>
          <w:bCs/>
          <w:i/>
          <w:color w:val="202122"/>
          <w:shd w:val="clear" w:color="auto" w:fill="FFFFFF"/>
        </w:rPr>
        <w:t xml:space="preserve">he selected co-worker representatives in </w:t>
      </w:r>
      <w:r w:rsidR="00007E1D">
        <w:rPr>
          <w:rFonts w:cstheme="minorHAnsi"/>
          <w:bCs/>
          <w:i/>
          <w:color w:val="202122"/>
          <w:shd w:val="clear" w:color="auto" w:fill="FFFFFF"/>
        </w:rPr>
        <w:t>the</w:t>
      </w:r>
      <w:r w:rsidRPr="00090CE7">
        <w:rPr>
          <w:rFonts w:cstheme="minorHAnsi"/>
          <w:bCs/>
          <w:i/>
          <w:color w:val="202122"/>
          <w:shd w:val="clear" w:color="auto" w:fill="FFFFFF"/>
        </w:rPr>
        <w:t xml:space="preserve"> European Works Council (EWC) </w:t>
      </w:r>
      <w:r w:rsidR="00007E1D">
        <w:rPr>
          <w:rFonts w:cstheme="minorHAnsi"/>
          <w:bCs/>
          <w:i/>
          <w:color w:val="202122"/>
          <w:shd w:val="clear" w:color="auto" w:fill="FFFFFF"/>
        </w:rPr>
        <w:t xml:space="preserve">were also consulted </w:t>
      </w:r>
      <w:r w:rsidRPr="00090CE7">
        <w:rPr>
          <w:rFonts w:cstheme="minorHAnsi"/>
          <w:bCs/>
          <w:i/>
          <w:color w:val="202122"/>
          <w:shd w:val="clear" w:color="auto" w:fill="FFFFFF"/>
        </w:rPr>
        <w:t xml:space="preserve">prior to the decision.    </w:t>
      </w:r>
    </w:p>
    <w:p w14:paraId="28E2E11F" w14:textId="6096C58A" w:rsidR="00090CE7" w:rsidRPr="00090CE7" w:rsidRDefault="00090CE7" w:rsidP="00090CE7">
      <w:pPr>
        <w:rPr>
          <w:rFonts w:cstheme="minorHAnsi"/>
          <w:color w:val="202122"/>
          <w:shd w:val="clear" w:color="auto" w:fill="FFFFFF"/>
        </w:rPr>
      </w:pPr>
      <w:r w:rsidRPr="00090CE7">
        <w:rPr>
          <w:rFonts w:cstheme="minorHAnsi"/>
          <w:bCs/>
          <w:i/>
          <w:color w:val="202122"/>
          <w:shd w:val="clear" w:color="auto" w:fill="FFFFFF"/>
        </w:rPr>
        <w:t xml:space="preserve">In July 2019, the decision to discontinue production and look for a new owner was communicated, with prolonged termination periods until mid-December 2019 or longer. By this, </w:t>
      </w:r>
      <w:r w:rsidR="00007E1D">
        <w:rPr>
          <w:rFonts w:cstheme="minorHAnsi"/>
          <w:bCs/>
          <w:i/>
          <w:color w:val="202122"/>
          <w:shd w:val="clear" w:color="auto" w:fill="FFFFFF"/>
        </w:rPr>
        <w:t>the enterprise</w:t>
      </w:r>
      <w:r w:rsidRPr="00090CE7">
        <w:rPr>
          <w:rFonts w:cstheme="minorHAnsi"/>
          <w:bCs/>
          <w:i/>
          <w:color w:val="202122"/>
          <w:shd w:val="clear" w:color="auto" w:fill="FFFFFF"/>
        </w:rPr>
        <w:t xml:space="preserve"> wanted to provide </w:t>
      </w:r>
      <w:r w:rsidR="00007E1D">
        <w:rPr>
          <w:rFonts w:cstheme="minorHAnsi"/>
          <w:bCs/>
          <w:i/>
          <w:color w:val="202122"/>
          <w:shd w:val="clear" w:color="auto" w:fill="FFFFFF"/>
        </w:rPr>
        <w:t xml:space="preserve">the </w:t>
      </w:r>
      <w:r w:rsidRPr="00090CE7">
        <w:rPr>
          <w:rFonts w:cstheme="minorHAnsi"/>
          <w:bCs/>
          <w:i/>
          <w:color w:val="202122"/>
          <w:shd w:val="clear" w:color="auto" w:fill="FFFFFF"/>
        </w:rPr>
        <w:t>co-workers a fair chance to adapt to the change.</w:t>
      </w:r>
      <w:r w:rsidR="00957AD3">
        <w:rPr>
          <w:rFonts w:cstheme="minorHAnsi"/>
          <w:bCs/>
          <w:i/>
          <w:color w:val="202122"/>
          <w:shd w:val="clear" w:color="auto" w:fill="FFFFFF"/>
        </w:rPr>
        <w:t xml:space="preserve"> </w:t>
      </w:r>
      <w:r w:rsidRPr="00090CE7">
        <w:rPr>
          <w:rFonts w:cstheme="minorHAnsi"/>
          <w:bCs/>
          <w:i/>
          <w:color w:val="202122"/>
          <w:shd w:val="clear" w:color="auto" w:fill="FFFFFF"/>
        </w:rPr>
        <w:t>It also provided sufficient time for negotiation with the union on a good support package to mitigate any adverse effects. The final support package was presented together with the union on September 18, 2019</w:t>
      </w:r>
      <w:r w:rsidRPr="00090CE7">
        <w:rPr>
          <w:rFonts w:cstheme="minorHAnsi"/>
          <w:bCs/>
          <w:color w:val="202122"/>
          <w:shd w:val="clear" w:color="auto" w:fill="FFFFFF"/>
        </w:rPr>
        <w:t>.</w:t>
      </w:r>
      <w:r>
        <w:rPr>
          <w:rFonts w:cstheme="minorHAnsi"/>
          <w:bCs/>
          <w:color w:val="202122"/>
          <w:shd w:val="clear" w:color="auto" w:fill="FFFFFF"/>
        </w:rPr>
        <w:t xml:space="preserve">” </w:t>
      </w:r>
    </w:p>
    <w:p w14:paraId="22E32A1F" w14:textId="4AE142B8" w:rsidR="00090CE7" w:rsidRPr="00090CE7" w:rsidRDefault="00957AD3" w:rsidP="00090CE7">
      <w:pPr>
        <w:rPr>
          <w:rFonts w:cstheme="minorHAnsi"/>
          <w:color w:val="202122"/>
          <w:shd w:val="clear" w:color="auto" w:fill="FFFFFF"/>
        </w:rPr>
      </w:pPr>
      <w:r>
        <w:rPr>
          <w:rFonts w:cstheme="minorHAnsi"/>
          <w:bCs/>
          <w:color w:val="202122"/>
          <w:shd w:val="clear" w:color="auto" w:fill="FFFFFF"/>
        </w:rPr>
        <w:t>According to</w:t>
      </w:r>
      <w:r w:rsidR="00365BF6">
        <w:rPr>
          <w:rFonts w:cstheme="minorHAnsi"/>
          <w:bCs/>
          <w:color w:val="202122"/>
          <w:shd w:val="clear" w:color="auto" w:fill="FFFFFF"/>
        </w:rPr>
        <w:t xml:space="preserve"> the enterprise</w:t>
      </w:r>
      <w:r w:rsidR="00394CA7">
        <w:rPr>
          <w:rFonts w:cstheme="minorHAnsi"/>
          <w:bCs/>
          <w:color w:val="202122"/>
          <w:shd w:val="clear" w:color="auto" w:fill="FFFFFF"/>
        </w:rPr>
        <w:t>,</w:t>
      </w:r>
      <w:r>
        <w:rPr>
          <w:rFonts w:cstheme="minorHAnsi"/>
          <w:bCs/>
          <w:color w:val="202122"/>
          <w:shd w:val="clear" w:color="auto" w:fill="FFFFFF"/>
        </w:rPr>
        <w:t xml:space="preserve"> it </w:t>
      </w:r>
      <w:r w:rsidR="00B26DB7">
        <w:rPr>
          <w:rFonts w:cstheme="minorHAnsi"/>
          <w:bCs/>
          <w:color w:val="202122"/>
          <w:shd w:val="clear" w:color="auto" w:fill="FFFFFF"/>
        </w:rPr>
        <w:t xml:space="preserve">undertook </w:t>
      </w:r>
      <w:r>
        <w:rPr>
          <w:rFonts w:cstheme="minorHAnsi"/>
          <w:bCs/>
          <w:color w:val="202122"/>
          <w:shd w:val="clear" w:color="auto" w:fill="FFFFFF"/>
        </w:rPr>
        <w:t>the following</w:t>
      </w:r>
      <w:r w:rsidR="00B26DB7">
        <w:rPr>
          <w:rFonts w:cstheme="minorHAnsi"/>
          <w:bCs/>
          <w:color w:val="202122"/>
          <w:shd w:val="clear" w:color="auto" w:fill="FFFFFF"/>
        </w:rPr>
        <w:t xml:space="preserve"> efforts</w:t>
      </w:r>
      <w:r>
        <w:rPr>
          <w:rFonts w:cstheme="minorHAnsi"/>
          <w:bCs/>
          <w:color w:val="202122"/>
          <w:shd w:val="clear" w:color="auto" w:fill="FFFFFF"/>
        </w:rPr>
        <w:t xml:space="preserve"> to mitigate adverse effects: “</w:t>
      </w:r>
      <w:r w:rsidR="00090CE7" w:rsidRPr="00957AD3">
        <w:rPr>
          <w:rFonts w:cstheme="minorHAnsi"/>
          <w:bCs/>
          <w:i/>
          <w:color w:val="202122"/>
          <w:shd w:val="clear" w:color="auto" w:fill="FFFFFF"/>
        </w:rPr>
        <w:t>IKEA Industry supported all co-workers in finding a new job for example through the Virginia Employment Commission (VEC), by hosting job fairs</w:t>
      </w:r>
      <w:r w:rsidR="00007E1D">
        <w:rPr>
          <w:rFonts w:cstheme="minorHAnsi"/>
          <w:bCs/>
          <w:i/>
          <w:color w:val="202122"/>
          <w:shd w:val="clear" w:color="auto" w:fill="FFFFFF"/>
        </w:rPr>
        <w:t>, introducing scholarships</w:t>
      </w:r>
      <w:r w:rsidR="00DB2F08">
        <w:rPr>
          <w:rFonts w:cstheme="minorHAnsi"/>
          <w:bCs/>
          <w:i/>
          <w:color w:val="202122"/>
          <w:shd w:val="clear" w:color="auto" w:fill="FFFFFF"/>
        </w:rPr>
        <w:t xml:space="preserve"> </w:t>
      </w:r>
      <w:r w:rsidR="00090CE7" w:rsidRPr="00957AD3">
        <w:rPr>
          <w:rFonts w:cstheme="minorHAnsi"/>
          <w:bCs/>
          <w:i/>
          <w:color w:val="202122"/>
          <w:shd w:val="clear" w:color="auto" w:fill="FFFFFF"/>
        </w:rPr>
        <w:t>and by offering professional support and outplacement services. IKEA Industry</w:t>
      </w:r>
      <w:r w:rsidR="00007E1D">
        <w:rPr>
          <w:rFonts w:cstheme="minorHAnsi"/>
          <w:bCs/>
          <w:i/>
          <w:color w:val="202122"/>
          <w:shd w:val="clear" w:color="auto" w:fill="FFFFFF"/>
        </w:rPr>
        <w:t xml:space="preserve"> </w:t>
      </w:r>
      <w:r w:rsidR="00090CE7" w:rsidRPr="00957AD3">
        <w:rPr>
          <w:rFonts w:cstheme="minorHAnsi"/>
          <w:bCs/>
          <w:i/>
          <w:color w:val="202122"/>
          <w:shd w:val="clear" w:color="auto" w:fill="FFFFFF"/>
        </w:rPr>
        <w:t>deliberately chose the buyer of the facilit</w:t>
      </w:r>
      <w:r w:rsidR="00007E1D">
        <w:rPr>
          <w:rFonts w:cstheme="minorHAnsi"/>
          <w:bCs/>
          <w:i/>
          <w:color w:val="202122"/>
          <w:shd w:val="clear" w:color="auto" w:fill="FFFFFF"/>
        </w:rPr>
        <w:t>y</w:t>
      </w:r>
      <w:r w:rsidR="00090CE7" w:rsidRPr="00957AD3">
        <w:rPr>
          <w:rFonts w:cstheme="minorHAnsi"/>
          <w:bCs/>
          <w:i/>
          <w:color w:val="202122"/>
          <w:shd w:val="clear" w:color="auto" w:fill="FFFFFF"/>
        </w:rPr>
        <w:t xml:space="preserve">, for being a good partner to the region and the number of workplaces they would offer </w:t>
      </w:r>
      <w:r w:rsidR="00090CE7" w:rsidRPr="0056699C">
        <w:rPr>
          <w:rFonts w:cstheme="minorHAnsi"/>
          <w:bCs/>
          <w:i/>
          <w:color w:val="202122"/>
          <w:shd w:val="clear" w:color="auto" w:fill="FFFFFF"/>
        </w:rPr>
        <w:t>- up to 1000, compared with 300 co-workers employed at IKEA Industry Danville</w:t>
      </w:r>
      <w:r w:rsidR="00090CE7" w:rsidRPr="0056699C">
        <w:rPr>
          <w:rFonts w:cstheme="minorHAnsi"/>
          <w:bCs/>
          <w:color w:val="202122"/>
          <w:shd w:val="clear" w:color="auto" w:fill="FFFFFF"/>
        </w:rPr>
        <w:t>.</w:t>
      </w:r>
      <w:r w:rsidRPr="0056699C">
        <w:rPr>
          <w:rFonts w:cstheme="minorHAnsi"/>
          <w:bCs/>
          <w:color w:val="202122"/>
          <w:shd w:val="clear" w:color="auto" w:fill="FFFFFF"/>
        </w:rPr>
        <w:t>”</w:t>
      </w:r>
    </w:p>
    <w:p w14:paraId="7FD3A227" w14:textId="25F685FE" w:rsidR="00957AD3" w:rsidRDefault="00846556" w:rsidP="00090CE7">
      <w:pPr>
        <w:rPr>
          <w:rFonts w:cstheme="minorHAnsi"/>
          <w:bCs/>
          <w:color w:val="202122"/>
          <w:shd w:val="clear" w:color="auto" w:fill="FFFFFF"/>
        </w:rPr>
      </w:pPr>
      <w:r>
        <w:rPr>
          <w:rFonts w:cstheme="minorHAnsi"/>
          <w:bCs/>
          <w:color w:val="202122"/>
          <w:shd w:val="clear" w:color="auto" w:fill="FFFFFF"/>
        </w:rPr>
        <w:t xml:space="preserve">Moreover, the enterprise </w:t>
      </w:r>
      <w:r w:rsidR="00CA46D4">
        <w:rPr>
          <w:rFonts w:cstheme="minorHAnsi"/>
          <w:bCs/>
          <w:color w:val="202122"/>
          <w:shd w:val="clear" w:color="auto" w:fill="FFFFFF"/>
        </w:rPr>
        <w:t>claims</w:t>
      </w:r>
      <w:r>
        <w:rPr>
          <w:rFonts w:cstheme="minorHAnsi"/>
          <w:bCs/>
          <w:color w:val="202122"/>
          <w:shd w:val="clear" w:color="auto" w:fill="FFFFFF"/>
        </w:rPr>
        <w:t xml:space="preserve"> that b</w:t>
      </w:r>
      <w:r w:rsidR="00957AD3">
        <w:rPr>
          <w:rFonts w:cstheme="minorHAnsi"/>
          <w:bCs/>
          <w:color w:val="202122"/>
          <w:shd w:val="clear" w:color="auto" w:fill="FFFFFF"/>
        </w:rPr>
        <w:t xml:space="preserve">oth governmental authorities as well as </w:t>
      </w:r>
      <w:r>
        <w:rPr>
          <w:rFonts w:cstheme="minorHAnsi"/>
          <w:bCs/>
          <w:color w:val="202122"/>
          <w:shd w:val="clear" w:color="auto" w:fill="FFFFFF"/>
        </w:rPr>
        <w:t xml:space="preserve">80% of </w:t>
      </w:r>
      <w:r w:rsidR="00957AD3">
        <w:rPr>
          <w:rFonts w:cstheme="minorHAnsi"/>
          <w:bCs/>
          <w:color w:val="202122"/>
          <w:shd w:val="clear" w:color="auto" w:fill="FFFFFF"/>
        </w:rPr>
        <w:t xml:space="preserve">the workers </w:t>
      </w:r>
      <w:r>
        <w:rPr>
          <w:rFonts w:cstheme="minorHAnsi"/>
          <w:bCs/>
          <w:color w:val="202122"/>
          <w:shd w:val="clear" w:color="auto" w:fill="FFFFFF"/>
        </w:rPr>
        <w:t xml:space="preserve">confirmed the proper and responsible way IKEA </w:t>
      </w:r>
      <w:r w:rsidR="00007E1D">
        <w:rPr>
          <w:rFonts w:cstheme="minorHAnsi"/>
          <w:bCs/>
          <w:color w:val="202122"/>
          <w:shd w:val="clear" w:color="auto" w:fill="FFFFFF"/>
        </w:rPr>
        <w:t xml:space="preserve">Industry </w:t>
      </w:r>
      <w:r>
        <w:rPr>
          <w:rFonts w:cstheme="minorHAnsi"/>
          <w:bCs/>
          <w:color w:val="202122"/>
          <w:shd w:val="clear" w:color="auto" w:fill="FFFFFF"/>
        </w:rPr>
        <w:t xml:space="preserve">handled the closure. </w:t>
      </w:r>
    </w:p>
    <w:p w14:paraId="7500A987" w14:textId="77777777" w:rsidR="00090CE7" w:rsidRPr="00090CE7" w:rsidRDefault="00846556" w:rsidP="000B548B">
      <w:pPr>
        <w:spacing w:after="240"/>
        <w:rPr>
          <w:rFonts w:cstheme="minorHAnsi"/>
          <w:color w:val="202122"/>
          <w:shd w:val="clear" w:color="auto" w:fill="FFFFFF"/>
        </w:rPr>
      </w:pPr>
      <w:r>
        <w:rPr>
          <w:rFonts w:cstheme="minorHAnsi"/>
          <w:bCs/>
          <w:color w:val="202122"/>
          <w:shd w:val="clear" w:color="auto" w:fill="FFFFFF"/>
        </w:rPr>
        <w:t>Based on the above the enterprise b</w:t>
      </w:r>
      <w:r w:rsidR="00090CE7" w:rsidRPr="00090CE7">
        <w:rPr>
          <w:rFonts w:cstheme="minorHAnsi"/>
          <w:bCs/>
          <w:color w:val="202122"/>
          <w:shd w:val="clear" w:color="auto" w:fill="FFFFFF"/>
        </w:rPr>
        <w:t>elieve</w:t>
      </w:r>
      <w:r>
        <w:rPr>
          <w:rFonts w:cstheme="minorHAnsi"/>
          <w:bCs/>
          <w:color w:val="202122"/>
          <w:shd w:val="clear" w:color="auto" w:fill="FFFFFF"/>
        </w:rPr>
        <w:t>s</w:t>
      </w:r>
      <w:r w:rsidR="00090CE7" w:rsidRPr="00090CE7">
        <w:rPr>
          <w:rFonts w:cstheme="minorHAnsi"/>
          <w:bCs/>
          <w:color w:val="202122"/>
          <w:shd w:val="clear" w:color="auto" w:fill="FFFFFF"/>
        </w:rPr>
        <w:t xml:space="preserve"> </w:t>
      </w:r>
      <w:r>
        <w:rPr>
          <w:rFonts w:cstheme="minorHAnsi"/>
          <w:bCs/>
          <w:color w:val="202122"/>
          <w:shd w:val="clear" w:color="auto" w:fill="FFFFFF"/>
        </w:rPr>
        <w:t xml:space="preserve">it supported the </w:t>
      </w:r>
      <w:r w:rsidR="00090CE7" w:rsidRPr="00090CE7">
        <w:rPr>
          <w:rFonts w:cstheme="minorHAnsi"/>
          <w:bCs/>
          <w:color w:val="202122"/>
          <w:shd w:val="clear" w:color="auto" w:fill="FFFFFF"/>
        </w:rPr>
        <w:t>workers and mitigated the negative effects of the decision, which</w:t>
      </w:r>
      <w:r>
        <w:rPr>
          <w:rFonts w:cstheme="minorHAnsi"/>
          <w:bCs/>
          <w:color w:val="202122"/>
          <w:shd w:val="clear" w:color="auto" w:fill="FFFFFF"/>
        </w:rPr>
        <w:t>, according to the enterprise,</w:t>
      </w:r>
      <w:r w:rsidR="00090CE7" w:rsidRPr="00090CE7">
        <w:rPr>
          <w:rFonts w:cstheme="minorHAnsi"/>
          <w:bCs/>
          <w:color w:val="202122"/>
          <w:shd w:val="clear" w:color="auto" w:fill="FFFFFF"/>
        </w:rPr>
        <w:t xml:space="preserve"> BWI has also </w:t>
      </w:r>
      <w:r w:rsidRPr="00090CE7">
        <w:rPr>
          <w:rFonts w:cstheme="minorHAnsi"/>
          <w:bCs/>
          <w:color w:val="202122"/>
          <w:shd w:val="clear" w:color="auto" w:fill="FFFFFF"/>
        </w:rPr>
        <w:t>recognized</w:t>
      </w:r>
      <w:r w:rsidR="00090CE7" w:rsidRPr="00090CE7">
        <w:rPr>
          <w:rFonts w:cstheme="minorHAnsi"/>
          <w:bCs/>
          <w:color w:val="202122"/>
          <w:shd w:val="clear" w:color="auto" w:fill="FFFFFF"/>
        </w:rPr>
        <w:t xml:space="preserve"> in </w:t>
      </w:r>
      <w:r>
        <w:rPr>
          <w:rFonts w:cstheme="minorHAnsi"/>
          <w:bCs/>
          <w:color w:val="202122"/>
          <w:shd w:val="clear" w:color="auto" w:fill="FFFFFF"/>
        </w:rPr>
        <w:t xml:space="preserve">their </w:t>
      </w:r>
      <w:r w:rsidR="00090CE7" w:rsidRPr="00090CE7">
        <w:rPr>
          <w:rFonts w:cstheme="minorHAnsi"/>
          <w:bCs/>
          <w:color w:val="202122"/>
          <w:shd w:val="clear" w:color="auto" w:fill="FFFFFF"/>
        </w:rPr>
        <w:t>meetings with them.</w:t>
      </w:r>
    </w:p>
    <w:p w14:paraId="527FCD4F" w14:textId="75EA8DEE" w:rsidR="00090CE7" w:rsidRPr="00090CE7" w:rsidRDefault="00090CE7" w:rsidP="000B548B">
      <w:pPr>
        <w:spacing w:after="240"/>
        <w:rPr>
          <w:rFonts w:cstheme="minorHAnsi"/>
          <w:color w:val="202122"/>
          <w:shd w:val="clear" w:color="auto" w:fill="FFFFFF"/>
        </w:rPr>
      </w:pPr>
      <w:r w:rsidRPr="00C44F63">
        <w:rPr>
          <w:rFonts w:cstheme="minorHAnsi"/>
          <w:shd w:val="clear" w:color="auto" w:fill="FFFFFF"/>
        </w:rPr>
        <w:t xml:space="preserve">Concerning the IFA, </w:t>
      </w:r>
      <w:r w:rsidR="002F180D">
        <w:rPr>
          <w:rFonts w:cstheme="minorHAnsi"/>
          <w:color w:val="202122"/>
          <w:shd w:val="clear" w:color="auto" w:fill="FFFFFF"/>
        </w:rPr>
        <w:t xml:space="preserve">the enterprise </w:t>
      </w:r>
      <w:r w:rsidR="005A26DD">
        <w:rPr>
          <w:rFonts w:cstheme="minorHAnsi"/>
          <w:color w:val="202122"/>
          <w:shd w:val="clear" w:color="auto" w:fill="FFFFFF"/>
        </w:rPr>
        <w:t>is of the position</w:t>
      </w:r>
      <w:r w:rsidR="002F180D">
        <w:rPr>
          <w:rFonts w:cstheme="minorHAnsi"/>
          <w:color w:val="202122"/>
          <w:shd w:val="clear" w:color="auto" w:fill="FFFFFF"/>
        </w:rPr>
        <w:t xml:space="preserve"> </w:t>
      </w:r>
      <w:r w:rsidR="00A7610A">
        <w:rPr>
          <w:rFonts w:cstheme="minorHAnsi"/>
          <w:color w:val="202122"/>
          <w:shd w:val="clear" w:color="auto" w:fill="FFFFFF"/>
        </w:rPr>
        <w:t>“</w:t>
      </w:r>
      <w:r w:rsidR="00846556" w:rsidRPr="00A7610A">
        <w:rPr>
          <w:rFonts w:cstheme="minorHAnsi"/>
          <w:i/>
          <w:color w:val="202122"/>
          <w:shd w:val="clear" w:color="auto" w:fill="FFFFFF"/>
        </w:rPr>
        <w:t>that the IFA</w:t>
      </w:r>
      <w:r w:rsidRPr="00A7610A">
        <w:rPr>
          <w:rFonts w:cstheme="minorHAnsi"/>
          <w:i/>
          <w:color w:val="202122"/>
          <w:shd w:val="clear" w:color="auto" w:fill="FFFFFF"/>
        </w:rPr>
        <w:t xml:space="preserve"> </w:t>
      </w:r>
      <w:r w:rsidR="00647318" w:rsidRPr="00A7610A">
        <w:rPr>
          <w:rFonts w:cstheme="minorHAnsi"/>
          <w:i/>
          <w:color w:val="202122"/>
          <w:shd w:val="clear" w:color="auto" w:fill="FFFFFF"/>
        </w:rPr>
        <w:t xml:space="preserve">referred to by the notifying parties </w:t>
      </w:r>
      <w:r w:rsidRPr="00A7610A">
        <w:rPr>
          <w:rFonts w:cstheme="minorHAnsi"/>
          <w:i/>
          <w:color w:val="202122"/>
          <w:shd w:val="clear" w:color="auto" w:fill="FFFFFF"/>
        </w:rPr>
        <w:t xml:space="preserve">is connected to another </w:t>
      </w:r>
      <w:r w:rsidR="009050FA" w:rsidRPr="00A7610A">
        <w:rPr>
          <w:rFonts w:cstheme="minorHAnsi"/>
          <w:i/>
          <w:color w:val="202122"/>
          <w:shd w:val="clear" w:color="auto" w:fill="FFFFFF"/>
        </w:rPr>
        <w:t xml:space="preserve">Group of Companies and is not any way applicable for Inter IKEA Group, including </w:t>
      </w:r>
      <w:r w:rsidRPr="00A7610A">
        <w:rPr>
          <w:rFonts w:cstheme="minorHAnsi"/>
          <w:i/>
          <w:color w:val="202122"/>
          <w:shd w:val="clear" w:color="auto" w:fill="FFFFFF"/>
        </w:rPr>
        <w:t>IKEA Industry.</w:t>
      </w:r>
      <w:r w:rsidR="00A7610A">
        <w:rPr>
          <w:rFonts w:cstheme="minorHAnsi"/>
          <w:color w:val="202122"/>
          <w:shd w:val="clear" w:color="auto" w:fill="FFFFFF"/>
        </w:rPr>
        <w:t>”</w:t>
      </w:r>
      <w:r w:rsidRPr="00090CE7">
        <w:rPr>
          <w:rFonts w:cstheme="minorHAnsi"/>
          <w:color w:val="202122"/>
          <w:shd w:val="clear" w:color="auto" w:fill="FFFFFF"/>
        </w:rPr>
        <w:t xml:space="preserve">     </w:t>
      </w:r>
    </w:p>
    <w:p w14:paraId="34799BCF" w14:textId="397EEF78" w:rsidR="00846556" w:rsidRPr="005A26DD" w:rsidRDefault="00394CA7" w:rsidP="000B548B">
      <w:pPr>
        <w:spacing w:after="480"/>
        <w:rPr>
          <w:rFonts w:cstheme="minorHAnsi"/>
          <w:i/>
          <w:color w:val="202122"/>
          <w:shd w:val="clear" w:color="auto" w:fill="FFFFFF"/>
        </w:rPr>
      </w:pPr>
      <w:proofErr w:type="gramStart"/>
      <w:r>
        <w:rPr>
          <w:rFonts w:cstheme="minorHAnsi"/>
          <w:color w:val="202122"/>
          <w:shd w:val="clear" w:color="auto" w:fill="FFFFFF"/>
        </w:rPr>
        <w:t>With regard</w:t>
      </w:r>
      <w:r w:rsidR="00846556">
        <w:rPr>
          <w:rFonts w:cstheme="minorHAnsi"/>
          <w:color w:val="202122"/>
          <w:shd w:val="clear" w:color="auto" w:fill="FFFFFF"/>
        </w:rPr>
        <w:t xml:space="preserve"> to</w:t>
      </w:r>
      <w:proofErr w:type="gramEnd"/>
      <w:r w:rsidR="00846556">
        <w:rPr>
          <w:rFonts w:cstheme="minorHAnsi"/>
          <w:color w:val="202122"/>
          <w:shd w:val="clear" w:color="auto" w:fill="FFFFFF"/>
        </w:rPr>
        <w:t xml:space="preserve"> a meaningful social dialogue, the enterprise believes it has all the preconditions in place to support this: “</w:t>
      </w:r>
      <w:r w:rsidR="00090CE7" w:rsidRPr="00C1640A">
        <w:rPr>
          <w:rFonts w:cstheme="minorHAnsi"/>
          <w:i/>
          <w:color w:val="202122"/>
          <w:shd w:val="clear" w:color="auto" w:fill="FFFFFF"/>
        </w:rPr>
        <w:t>Looking at the structure we have developed for working with our work councils and unions, we believe we have all the pre-conditions in place to truly support a collaborative approach a</w:t>
      </w:r>
      <w:r w:rsidR="00846556" w:rsidRPr="00C1640A">
        <w:rPr>
          <w:rFonts w:cstheme="minorHAnsi"/>
          <w:i/>
          <w:color w:val="202122"/>
          <w:shd w:val="clear" w:color="auto" w:fill="FFFFFF"/>
        </w:rPr>
        <w:t>nd a meaningful social dialogue</w:t>
      </w:r>
      <w:r w:rsidR="00C1640A">
        <w:rPr>
          <w:rFonts w:cstheme="minorHAnsi"/>
          <w:i/>
          <w:color w:val="202122"/>
          <w:shd w:val="clear" w:color="auto" w:fill="FFFFFF"/>
        </w:rPr>
        <w:t>.</w:t>
      </w:r>
      <w:r w:rsidR="00846556" w:rsidRPr="00C1640A">
        <w:rPr>
          <w:rFonts w:cstheme="minorHAnsi"/>
          <w:i/>
          <w:color w:val="202122"/>
          <w:shd w:val="clear" w:color="auto" w:fill="FFFFFF"/>
        </w:rPr>
        <w:t xml:space="preserve"> We have union representatives in the IKEA Industry Board, we have an IKEA Industry global workers council, we </w:t>
      </w:r>
      <w:r w:rsidR="00846556" w:rsidRPr="005A26DD">
        <w:rPr>
          <w:rFonts w:cstheme="minorHAnsi"/>
          <w:i/>
          <w:color w:val="202122"/>
          <w:shd w:val="clear" w:color="auto" w:fill="FFFFFF"/>
        </w:rPr>
        <w:t xml:space="preserve">have an Inter IKEA Group European workers council, and we have local unions in most of our factories. Where we do not have unions, we have other set-ups to secure co-determination for co-workers. </w:t>
      </w:r>
      <w:r w:rsidR="005A26DD" w:rsidRPr="005A26DD">
        <w:rPr>
          <w:rFonts w:cstheme="minorHAnsi"/>
          <w:i/>
          <w:color w:val="202122"/>
          <w:shd w:val="clear" w:color="auto" w:fill="FFFFFF"/>
        </w:rPr>
        <w:t xml:space="preserve">Our code of conduct “IWAY” reflects our commitment to the UN Guiding Principles on Business and Human Rights and </w:t>
      </w:r>
      <w:proofErr w:type="gramStart"/>
      <w:r w:rsidR="005A26DD" w:rsidRPr="005A26DD">
        <w:rPr>
          <w:rFonts w:cstheme="minorHAnsi"/>
          <w:i/>
          <w:color w:val="202122"/>
          <w:shd w:val="clear" w:color="auto" w:fill="FFFFFF"/>
        </w:rPr>
        <w:t>is  based</w:t>
      </w:r>
      <w:proofErr w:type="gramEnd"/>
      <w:r w:rsidR="005A26DD" w:rsidRPr="005A26DD">
        <w:rPr>
          <w:rFonts w:cstheme="minorHAnsi"/>
          <w:i/>
          <w:color w:val="202122"/>
          <w:shd w:val="clear" w:color="auto" w:fill="FFFFFF"/>
        </w:rPr>
        <w:t xml:space="preserve"> on the Ten Principles of the Global Compact. In developing our requirements, we have also been guided by the UN Sustainable Development Goals and the ILO Centenary Declaration for the future of Work, among others.” </w:t>
      </w:r>
      <w:r w:rsidR="00846556" w:rsidRPr="005A26DD">
        <w:rPr>
          <w:rFonts w:cstheme="minorHAnsi"/>
          <w:i/>
          <w:color w:val="202122"/>
          <w:shd w:val="clear" w:color="auto" w:fill="FFFFFF"/>
        </w:rPr>
        <w:t xml:space="preserve"> </w:t>
      </w:r>
    </w:p>
    <w:p w14:paraId="1CA32B93" w14:textId="77777777" w:rsidR="00FD4A30" w:rsidRPr="00FD4A30" w:rsidRDefault="00FD4A30" w:rsidP="00FD4A30">
      <w:pPr>
        <w:pStyle w:val="Heading1"/>
        <w:numPr>
          <w:ilvl w:val="0"/>
          <w:numId w:val="3"/>
        </w:numPr>
        <w:spacing w:line="259" w:lineRule="auto"/>
        <w:contextualSpacing/>
        <w:rPr>
          <w:rFonts w:asciiTheme="minorHAnsi" w:hAnsiTheme="minorHAnsi" w:cstheme="minorHAnsi"/>
          <w:sz w:val="28"/>
          <w:szCs w:val="28"/>
        </w:rPr>
      </w:pPr>
      <w:bookmarkStart w:id="2" w:name="_Toc84860555"/>
      <w:r w:rsidRPr="00FD4A30">
        <w:rPr>
          <w:rFonts w:asciiTheme="minorHAnsi" w:hAnsiTheme="minorHAnsi" w:cstheme="minorHAnsi"/>
          <w:sz w:val="28"/>
          <w:szCs w:val="28"/>
        </w:rPr>
        <w:t>T</w:t>
      </w:r>
      <w:r w:rsidR="00C11B7C">
        <w:rPr>
          <w:rFonts w:asciiTheme="minorHAnsi" w:hAnsiTheme="minorHAnsi" w:cstheme="minorHAnsi"/>
          <w:sz w:val="28"/>
          <w:szCs w:val="28"/>
        </w:rPr>
        <w:t>he proceedings of the NCP to date</w:t>
      </w:r>
      <w:bookmarkEnd w:id="2"/>
      <w:r w:rsidR="00C11B7C">
        <w:rPr>
          <w:rFonts w:asciiTheme="minorHAnsi" w:hAnsiTheme="minorHAnsi" w:cstheme="minorHAnsi"/>
          <w:sz w:val="28"/>
          <w:szCs w:val="28"/>
        </w:rPr>
        <w:t xml:space="preserve"> </w:t>
      </w:r>
    </w:p>
    <w:p w14:paraId="3ACB6E56" w14:textId="77777777" w:rsidR="00FD4A30" w:rsidRDefault="00D0602A" w:rsidP="000B548B">
      <w:pPr>
        <w:spacing w:after="240"/>
        <w:rPr>
          <w:rFonts w:cstheme="minorHAnsi"/>
        </w:rPr>
      </w:pPr>
      <w:r>
        <w:rPr>
          <w:rFonts w:cstheme="minorHAnsi"/>
        </w:rPr>
        <w:t>Since the receipt of the submission on 24 December 2020 the NCP has carried out the following actions.</w:t>
      </w:r>
    </w:p>
    <w:p w14:paraId="2DCF27B0" w14:textId="241F61C2" w:rsidR="00D0602A" w:rsidRDefault="00D0602A" w:rsidP="000B548B">
      <w:pPr>
        <w:spacing w:after="240"/>
        <w:rPr>
          <w:rFonts w:cstheme="minorHAnsi"/>
        </w:rPr>
      </w:pPr>
      <w:r>
        <w:rPr>
          <w:rFonts w:cstheme="minorHAnsi"/>
        </w:rPr>
        <w:t xml:space="preserve">On 5 January 2021, the NCP has sent a confirmation of receipt to the notifying parties and has informed the enterprise of the notification. Both parties also received </w:t>
      </w:r>
      <w:r w:rsidR="00364FE8">
        <w:rPr>
          <w:rFonts w:cstheme="minorHAnsi"/>
        </w:rPr>
        <w:t xml:space="preserve">a description of </w:t>
      </w:r>
      <w:r>
        <w:rPr>
          <w:rFonts w:cstheme="minorHAnsi"/>
        </w:rPr>
        <w:t>the NCP procedure.</w:t>
      </w:r>
    </w:p>
    <w:p w14:paraId="47A7E220" w14:textId="77777777" w:rsidR="00D0602A" w:rsidRDefault="00D0602A" w:rsidP="000B548B">
      <w:pPr>
        <w:spacing w:after="240"/>
        <w:rPr>
          <w:rFonts w:cstheme="minorHAnsi"/>
        </w:rPr>
      </w:pPr>
      <w:r>
        <w:rPr>
          <w:rFonts w:cstheme="minorHAnsi"/>
        </w:rPr>
        <w:lastRenderedPageBreak/>
        <w:t>On 11 February 2021, it received agreement from the US NCP to the coordination proposal that the Dutch NCP takes the lead and the US acts as supportive NCP.</w:t>
      </w:r>
    </w:p>
    <w:p w14:paraId="61BB8962" w14:textId="77777777" w:rsidR="00555670" w:rsidRDefault="00555670" w:rsidP="000B548B">
      <w:pPr>
        <w:spacing w:after="240"/>
        <w:rPr>
          <w:rFonts w:cstheme="minorHAnsi"/>
        </w:rPr>
      </w:pPr>
      <w:r>
        <w:rPr>
          <w:rFonts w:cstheme="minorHAnsi"/>
        </w:rPr>
        <w:t xml:space="preserve">In February 2021, the NCP received correspondence from Inter </w:t>
      </w:r>
      <w:r w:rsidR="00D773A9">
        <w:rPr>
          <w:rFonts w:cstheme="minorHAnsi"/>
        </w:rPr>
        <w:t>IKEA</w:t>
      </w:r>
      <w:r>
        <w:rPr>
          <w:rFonts w:cstheme="minorHAnsi"/>
        </w:rPr>
        <w:t xml:space="preserve"> claiming the issues have arisen at Inter </w:t>
      </w:r>
      <w:r w:rsidR="00D773A9">
        <w:rPr>
          <w:rFonts w:cstheme="minorHAnsi"/>
        </w:rPr>
        <w:t>IKEA</w:t>
      </w:r>
      <w:r>
        <w:rPr>
          <w:rFonts w:cstheme="minorHAnsi"/>
        </w:rPr>
        <w:t xml:space="preserve">’s Swedish subsidiary </w:t>
      </w:r>
      <w:r w:rsidR="00D773A9">
        <w:rPr>
          <w:rFonts w:cstheme="minorHAnsi"/>
        </w:rPr>
        <w:t>IKEA</w:t>
      </w:r>
      <w:r>
        <w:rPr>
          <w:rFonts w:cstheme="minorHAnsi"/>
        </w:rPr>
        <w:t xml:space="preserve"> Industry. </w:t>
      </w:r>
    </w:p>
    <w:p w14:paraId="750E31BC" w14:textId="77777777" w:rsidR="00D0602A" w:rsidRDefault="00D0602A" w:rsidP="000B548B">
      <w:pPr>
        <w:spacing w:after="240"/>
        <w:rPr>
          <w:rFonts w:cstheme="minorHAnsi"/>
        </w:rPr>
      </w:pPr>
      <w:r>
        <w:rPr>
          <w:rFonts w:cstheme="minorHAnsi"/>
        </w:rPr>
        <w:t>On 19 March 2021, the first video meeting with the notifying parties took place.</w:t>
      </w:r>
    </w:p>
    <w:p w14:paraId="02B5A5E1" w14:textId="77777777" w:rsidR="00D0602A" w:rsidRDefault="00D0602A" w:rsidP="000B548B">
      <w:pPr>
        <w:spacing w:after="240"/>
        <w:rPr>
          <w:rFonts w:cstheme="minorHAnsi"/>
        </w:rPr>
      </w:pPr>
      <w:r>
        <w:rPr>
          <w:rFonts w:cstheme="minorHAnsi"/>
        </w:rPr>
        <w:t>On 9 April 2021, the first video meeting with the enterprise took place.</w:t>
      </w:r>
      <w:r w:rsidR="00555670">
        <w:rPr>
          <w:rFonts w:cstheme="minorHAnsi"/>
        </w:rPr>
        <w:t xml:space="preserve"> Inter </w:t>
      </w:r>
      <w:r w:rsidR="00D773A9">
        <w:rPr>
          <w:rFonts w:cstheme="minorHAnsi"/>
        </w:rPr>
        <w:t>IKEA</w:t>
      </w:r>
      <w:r w:rsidR="00555670">
        <w:rPr>
          <w:rFonts w:cstheme="minorHAnsi"/>
        </w:rPr>
        <w:t xml:space="preserve"> delegate</w:t>
      </w:r>
      <w:r w:rsidR="00FA1681">
        <w:rPr>
          <w:rFonts w:cstheme="minorHAnsi"/>
        </w:rPr>
        <w:t>d</w:t>
      </w:r>
      <w:r w:rsidR="00555670">
        <w:rPr>
          <w:rFonts w:cstheme="minorHAnsi"/>
        </w:rPr>
        <w:t xml:space="preserve"> this meeting to</w:t>
      </w:r>
      <w:r w:rsidR="00FA1681">
        <w:rPr>
          <w:rFonts w:cstheme="minorHAnsi"/>
        </w:rPr>
        <w:t xml:space="preserve"> its subsidiary</w:t>
      </w:r>
      <w:r w:rsidR="00555670">
        <w:rPr>
          <w:rFonts w:cstheme="minorHAnsi"/>
        </w:rPr>
        <w:t xml:space="preserve"> </w:t>
      </w:r>
      <w:r w:rsidR="00D773A9">
        <w:rPr>
          <w:rFonts w:cstheme="minorHAnsi"/>
        </w:rPr>
        <w:t>IKEA</w:t>
      </w:r>
      <w:r w:rsidR="00555670">
        <w:rPr>
          <w:rFonts w:cstheme="minorHAnsi"/>
        </w:rPr>
        <w:t xml:space="preserve"> Industry</w:t>
      </w:r>
      <w:r w:rsidR="00FA1681">
        <w:rPr>
          <w:rFonts w:cstheme="minorHAnsi"/>
        </w:rPr>
        <w:t xml:space="preserve"> AB, a Swedish entity</w:t>
      </w:r>
      <w:r w:rsidR="00555670">
        <w:rPr>
          <w:rFonts w:cstheme="minorHAnsi"/>
        </w:rPr>
        <w:t xml:space="preserve">. </w:t>
      </w:r>
    </w:p>
    <w:p w14:paraId="32BCB8C1" w14:textId="55193477" w:rsidR="00D0602A" w:rsidRDefault="00D0602A" w:rsidP="000B548B">
      <w:pPr>
        <w:spacing w:after="240"/>
        <w:rPr>
          <w:rFonts w:cstheme="minorHAnsi"/>
        </w:rPr>
      </w:pPr>
      <w:r>
        <w:rPr>
          <w:rFonts w:cstheme="minorHAnsi"/>
        </w:rPr>
        <w:t>On 4 June 2021, the Swedish NCP was informed of the involvement of a Swedish entity in the procedure.</w:t>
      </w:r>
      <w:r w:rsidR="00A961BA">
        <w:rPr>
          <w:rFonts w:cstheme="minorHAnsi"/>
        </w:rPr>
        <w:t xml:space="preserve"> The Swedish NCP had no objections to the Dutch NCP taking the lead and offered its assistance. </w:t>
      </w:r>
    </w:p>
    <w:p w14:paraId="1D3BFB5A" w14:textId="51E5CFD8" w:rsidR="00D0602A" w:rsidRDefault="00E36D85" w:rsidP="000B548B">
      <w:pPr>
        <w:spacing w:after="240"/>
        <w:rPr>
          <w:rFonts w:cstheme="minorHAnsi"/>
        </w:rPr>
      </w:pPr>
      <w:r>
        <w:rPr>
          <w:rFonts w:cstheme="minorHAnsi"/>
        </w:rPr>
        <w:t xml:space="preserve">On </w:t>
      </w:r>
      <w:r w:rsidR="006371C2" w:rsidRPr="006371C2">
        <w:rPr>
          <w:rFonts w:cstheme="minorHAnsi"/>
        </w:rPr>
        <w:t>22</w:t>
      </w:r>
      <w:r w:rsidR="002515E0">
        <w:rPr>
          <w:rFonts w:cstheme="minorHAnsi"/>
        </w:rPr>
        <w:t xml:space="preserve"> July</w:t>
      </w:r>
      <w:r w:rsidR="00D0602A">
        <w:rPr>
          <w:rFonts w:cstheme="minorHAnsi"/>
        </w:rPr>
        <w:t xml:space="preserve"> 2021, the first draft initial assessment was sent to both parties for comments, to be provided </w:t>
      </w:r>
      <w:r w:rsidR="002515E0">
        <w:rPr>
          <w:rFonts w:cstheme="minorHAnsi"/>
        </w:rPr>
        <w:t xml:space="preserve">by 30 August (due to </w:t>
      </w:r>
      <w:proofErr w:type="gramStart"/>
      <w:r w:rsidR="002515E0">
        <w:rPr>
          <w:rFonts w:cstheme="minorHAnsi"/>
        </w:rPr>
        <w:t>Summer</w:t>
      </w:r>
      <w:proofErr w:type="gramEnd"/>
      <w:r w:rsidR="002515E0">
        <w:rPr>
          <w:rFonts w:cstheme="minorHAnsi"/>
        </w:rPr>
        <w:t xml:space="preserve"> holidays the NCP extended the usual deadline of two weeks)</w:t>
      </w:r>
      <w:r w:rsidR="00D0602A">
        <w:rPr>
          <w:rFonts w:cstheme="minorHAnsi"/>
        </w:rPr>
        <w:t xml:space="preserve">. </w:t>
      </w:r>
      <w:r w:rsidR="006A7DDB">
        <w:rPr>
          <w:rFonts w:cstheme="minorHAnsi"/>
        </w:rPr>
        <w:t>In the accompanying mail, the NCP offered its good offices and asked the parties to respond.</w:t>
      </w:r>
    </w:p>
    <w:p w14:paraId="59E41839" w14:textId="507C9895" w:rsidR="00D0602A" w:rsidRDefault="00D0602A" w:rsidP="000B548B">
      <w:pPr>
        <w:spacing w:after="240"/>
        <w:rPr>
          <w:rFonts w:cstheme="minorHAnsi"/>
        </w:rPr>
      </w:pPr>
      <w:r>
        <w:rPr>
          <w:rFonts w:cstheme="minorHAnsi"/>
        </w:rPr>
        <w:t xml:space="preserve">On </w:t>
      </w:r>
      <w:r w:rsidR="007D0EC9">
        <w:rPr>
          <w:rFonts w:cstheme="minorHAnsi"/>
        </w:rPr>
        <w:t>1 October</w:t>
      </w:r>
      <w:r>
        <w:rPr>
          <w:rFonts w:cstheme="minorHAnsi"/>
        </w:rPr>
        <w:t xml:space="preserve"> 2021, the second draft initial assessment was sent to both parties for factual corrections, to be provided within 14 days.</w:t>
      </w:r>
    </w:p>
    <w:p w14:paraId="00A4F780" w14:textId="4C007E59" w:rsidR="006A7DDB" w:rsidRDefault="00D0602A" w:rsidP="000B548B">
      <w:pPr>
        <w:spacing w:after="240"/>
        <w:rPr>
          <w:rFonts w:cstheme="minorHAnsi"/>
        </w:rPr>
      </w:pPr>
      <w:r>
        <w:rPr>
          <w:rFonts w:cstheme="minorHAnsi"/>
        </w:rPr>
        <w:t xml:space="preserve">On </w:t>
      </w:r>
      <w:r w:rsidR="00F821B1">
        <w:rPr>
          <w:rFonts w:cstheme="minorHAnsi"/>
        </w:rPr>
        <w:t>18 October</w:t>
      </w:r>
      <w:r>
        <w:rPr>
          <w:rFonts w:cstheme="minorHAnsi"/>
        </w:rPr>
        <w:t xml:space="preserve"> 2021, the final version was sent to both parties with a proposal </w:t>
      </w:r>
      <w:r w:rsidR="006A7DDB">
        <w:rPr>
          <w:rFonts w:cstheme="minorHAnsi"/>
        </w:rPr>
        <w:t>for a date of publication</w:t>
      </w:r>
      <w:r w:rsidR="00657252">
        <w:rPr>
          <w:rFonts w:cstheme="minorHAnsi"/>
        </w:rPr>
        <w:t>.</w:t>
      </w:r>
    </w:p>
    <w:p w14:paraId="46CBABF5" w14:textId="77777777" w:rsidR="00D0602A" w:rsidRPr="00FD4A30" w:rsidRDefault="006A7DDB" w:rsidP="000B548B">
      <w:pPr>
        <w:spacing w:after="480"/>
        <w:rPr>
          <w:rFonts w:cstheme="minorHAnsi"/>
        </w:rPr>
      </w:pPr>
      <w:r>
        <w:rPr>
          <w:rFonts w:cstheme="minorHAnsi"/>
        </w:rPr>
        <w:t xml:space="preserve">On </w:t>
      </w:r>
      <w:r w:rsidRPr="00FA1681">
        <w:rPr>
          <w:rFonts w:cstheme="minorHAnsi"/>
          <w:highlight w:val="yellow"/>
        </w:rPr>
        <w:t>xx</w:t>
      </w:r>
      <w:r>
        <w:rPr>
          <w:rFonts w:cstheme="minorHAnsi"/>
        </w:rPr>
        <w:t xml:space="preserve"> 2021, the initial assessment was published.</w:t>
      </w:r>
      <w:r w:rsidR="00D0602A">
        <w:rPr>
          <w:rFonts w:cstheme="minorHAnsi"/>
        </w:rPr>
        <w:t xml:space="preserve"> </w:t>
      </w:r>
    </w:p>
    <w:p w14:paraId="0E90B76A" w14:textId="77777777" w:rsidR="00682276" w:rsidRPr="00682276" w:rsidRDefault="00682276" w:rsidP="00BB2B41">
      <w:pPr>
        <w:pStyle w:val="Heading1"/>
        <w:numPr>
          <w:ilvl w:val="0"/>
          <w:numId w:val="3"/>
        </w:numPr>
        <w:spacing w:before="0" w:line="259" w:lineRule="auto"/>
        <w:ind w:left="357" w:hanging="357"/>
        <w:rPr>
          <w:rFonts w:asciiTheme="minorHAnsi" w:hAnsiTheme="minorHAnsi" w:cstheme="minorHAnsi"/>
          <w:sz w:val="28"/>
          <w:szCs w:val="28"/>
        </w:rPr>
      </w:pPr>
      <w:bookmarkStart w:id="3" w:name="_Toc84860556"/>
      <w:r>
        <w:rPr>
          <w:rFonts w:asciiTheme="minorHAnsi" w:hAnsiTheme="minorHAnsi" w:cstheme="minorHAnsi"/>
          <w:sz w:val="28"/>
          <w:szCs w:val="28"/>
        </w:rPr>
        <w:t xml:space="preserve">Initial </w:t>
      </w:r>
      <w:r w:rsidR="00E86BD8">
        <w:rPr>
          <w:rFonts w:asciiTheme="minorHAnsi" w:hAnsiTheme="minorHAnsi" w:cstheme="minorHAnsi"/>
          <w:sz w:val="28"/>
          <w:szCs w:val="28"/>
        </w:rPr>
        <w:t>a</w:t>
      </w:r>
      <w:r>
        <w:rPr>
          <w:rFonts w:asciiTheme="minorHAnsi" w:hAnsiTheme="minorHAnsi" w:cstheme="minorHAnsi"/>
          <w:sz w:val="28"/>
          <w:szCs w:val="28"/>
        </w:rPr>
        <w:t>ssessment</w:t>
      </w:r>
      <w:r w:rsidR="00E86BD8">
        <w:rPr>
          <w:rFonts w:asciiTheme="minorHAnsi" w:hAnsiTheme="minorHAnsi" w:cstheme="minorHAnsi"/>
          <w:sz w:val="28"/>
          <w:szCs w:val="28"/>
        </w:rPr>
        <w:t xml:space="preserve"> by the NCP</w:t>
      </w:r>
      <w:bookmarkEnd w:id="3"/>
    </w:p>
    <w:p w14:paraId="60D91614" w14:textId="53BCE87C" w:rsidR="00EE5A5E" w:rsidRDefault="00EE5A5E" w:rsidP="004170D9">
      <w:pPr>
        <w:spacing w:after="240"/>
      </w:pPr>
      <w:r>
        <w:t xml:space="preserve">The NCP has decided to accept the submission. This decision has been taken following an </w:t>
      </w:r>
      <w:r w:rsidR="0072178C">
        <w:t>assessment</w:t>
      </w:r>
      <w:r>
        <w:t xml:space="preserve"> of the criteria below, as outlined in the commentary to th</w:t>
      </w:r>
      <w:r w:rsidR="0072178C">
        <w:t>e Procedural Guidance, para 25.</w:t>
      </w:r>
    </w:p>
    <w:p w14:paraId="04850F4D" w14:textId="77777777" w:rsidR="00EE5A5E" w:rsidRPr="00BB2B41" w:rsidRDefault="00EE5A5E" w:rsidP="004170D9">
      <w:pPr>
        <w:spacing w:after="0"/>
        <w:rPr>
          <w:b/>
        </w:rPr>
      </w:pPr>
      <w:r w:rsidRPr="00BB2B41">
        <w:rPr>
          <w:b/>
        </w:rPr>
        <w:t>What is the identity of the submitter(s) and what is the nature of their interest in the submission?</w:t>
      </w:r>
    </w:p>
    <w:p w14:paraId="7FA8BE4F" w14:textId="420D4902" w:rsidR="00657252" w:rsidRPr="009B00E8" w:rsidRDefault="00206935" w:rsidP="00FD4A30">
      <w:pPr>
        <w:spacing w:after="0"/>
        <w:contextualSpacing/>
        <w:rPr>
          <w:rFonts w:cstheme="minorHAnsi"/>
          <w:highlight w:val="green"/>
        </w:rPr>
      </w:pPr>
      <w:r>
        <w:t xml:space="preserve">The party submitting this specific instance is the </w:t>
      </w:r>
      <w:r w:rsidRPr="00436DE9">
        <w:t>BWI</w:t>
      </w:r>
      <w:r w:rsidR="00B91A8C">
        <w:t>,</w:t>
      </w:r>
      <w:r w:rsidRPr="00436DE9">
        <w:t xml:space="preserve"> a global union federation representing workers in the building and construction, </w:t>
      </w:r>
      <w:proofErr w:type="gramStart"/>
      <w:r w:rsidRPr="00436DE9">
        <w:t>wood</w:t>
      </w:r>
      <w:proofErr w:type="gramEnd"/>
      <w:r w:rsidRPr="00436DE9">
        <w:t xml:space="preserve"> and forestry, building materials and allied sectors and has over 350 affiliated trade unions from 150 countries that represent over 12 </w:t>
      </w:r>
      <w:r w:rsidRPr="00634A0D">
        <w:rPr>
          <w:rFonts w:cstheme="minorHAnsi"/>
        </w:rPr>
        <w:t>million workers</w:t>
      </w:r>
      <w:r w:rsidR="00B91A8C" w:rsidRPr="00634A0D">
        <w:rPr>
          <w:rFonts w:cstheme="minorHAnsi"/>
        </w:rPr>
        <w:t xml:space="preserve">. </w:t>
      </w:r>
      <w:r w:rsidR="008F0D81" w:rsidRPr="00634A0D">
        <w:rPr>
          <w:rFonts w:cstheme="minorHAnsi"/>
        </w:rPr>
        <w:t>BWI</w:t>
      </w:r>
      <w:r w:rsidRPr="00634A0D">
        <w:rPr>
          <w:rFonts w:cstheme="minorHAnsi"/>
        </w:rPr>
        <w:t xml:space="preserve"> is joined in this submission by</w:t>
      </w:r>
      <w:r w:rsidR="008F0D81" w:rsidRPr="00634A0D">
        <w:rPr>
          <w:rFonts w:cstheme="minorHAnsi"/>
        </w:rPr>
        <w:t xml:space="preserve"> its member</w:t>
      </w:r>
      <w:r w:rsidRPr="00634A0D">
        <w:rPr>
          <w:rFonts w:cstheme="minorHAnsi"/>
        </w:rPr>
        <w:t xml:space="preserve"> </w:t>
      </w:r>
      <w:r w:rsidRPr="00634A0D">
        <w:rPr>
          <w:rFonts w:cstheme="minorHAnsi"/>
          <w:bCs/>
        </w:rPr>
        <w:t>IAMAW</w:t>
      </w:r>
      <w:r w:rsidRPr="00634A0D">
        <w:rPr>
          <w:rFonts w:cstheme="minorHAnsi"/>
        </w:rPr>
        <w:t xml:space="preserve">, </w:t>
      </w:r>
      <w:r w:rsidR="00E449D5" w:rsidRPr="00634A0D">
        <w:rPr>
          <w:rFonts w:cstheme="minorHAnsi"/>
        </w:rPr>
        <w:t xml:space="preserve">the </w:t>
      </w:r>
      <w:r w:rsidR="008F0D81" w:rsidRPr="00634A0D">
        <w:rPr>
          <w:rFonts w:cstheme="minorHAnsi"/>
        </w:rPr>
        <w:t xml:space="preserve">North American </w:t>
      </w:r>
      <w:r w:rsidR="00E449D5" w:rsidRPr="00634A0D">
        <w:rPr>
          <w:rFonts w:cstheme="minorHAnsi"/>
        </w:rPr>
        <w:t xml:space="preserve">trade union which </w:t>
      </w:r>
      <w:r w:rsidR="00A72F7C" w:rsidRPr="00634A0D">
        <w:rPr>
          <w:rFonts w:cstheme="minorHAnsi"/>
        </w:rPr>
        <w:t xml:space="preserve">represented the workers </w:t>
      </w:r>
      <w:r w:rsidR="008F0D81" w:rsidRPr="00634A0D">
        <w:rPr>
          <w:rFonts w:cstheme="minorHAnsi"/>
        </w:rPr>
        <w:t>at</w:t>
      </w:r>
      <w:r w:rsidR="00A72F7C" w:rsidRPr="00634A0D">
        <w:rPr>
          <w:rFonts w:cstheme="minorHAnsi"/>
        </w:rPr>
        <w:t xml:space="preserve"> the Danville site</w:t>
      </w:r>
      <w:r w:rsidR="00B91A8C" w:rsidRPr="00634A0D">
        <w:rPr>
          <w:rFonts w:cstheme="minorHAnsi"/>
        </w:rPr>
        <w:t xml:space="preserve">, and by </w:t>
      </w:r>
      <w:r w:rsidRPr="00634A0D">
        <w:rPr>
          <w:rFonts w:cstheme="minorHAnsi"/>
          <w:bCs/>
        </w:rPr>
        <w:t>GS</w:t>
      </w:r>
      <w:r w:rsidR="00A72F7C" w:rsidRPr="00634A0D">
        <w:rPr>
          <w:rFonts w:cstheme="minorHAnsi"/>
          <w:bCs/>
        </w:rPr>
        <w:t xml:space="preserve"> </w:t>
      </w:r>
      <w:proofErr w:type="spellStart"/>
      <w:r w:rsidR="00A72F7C" w:rsidRPr="00634A0D">
        <w:rPr>
          <w:rFonts w:cstheme="minorHAnsi"/>
          <w:bCs/>
        </w:rPr>
        <w:t>Facket</w:t>
      </w:r>
      <w:proofErr w:type="spellEnd"/>
      <w:r w:rsidRPr="00634A0D">
        <w:rPr>
          <w:rFonts w:cstheme="minorHAnsi"/>
        </w:rPr>
        <w:t xml:space="preserve">, </w:t>
      </w:r>
      <w:r w:rsidR="00B91A8C" w:rsidRPr="00634A0D">
        <w:rPr>
          <w:rFonts w:cstheme="minorHAnsi"/>
        </w:rPr>
        <w:t xml:space="preserve">which </w:t>
      </w:r>
      <w:r w:rsidRPr="00634A0D">
        <w:rPr>
          <w:rFonts w:cstheme="minorHAnsi"/>
        </w:rPr>
        <w:t>represent</w:t>
      </w:r>
      <w:r w:rsidR="00B91A8C" w:rsidRPr="00634A0D">
        <w:rPr>
          <w:rFonts w:cstheme="minorHAnsi"/>
        </w:rPr>
        <w:t>s</w:t>
      </w:r>
      <w:r w:rsidRPr="00634A0D">
        <w:rPr>
          <w:rFonts w:cstheme="minorHAnsi"/>
        </w:rPr>
        <w:t xml:space="preserve"> workers </w:t>
      </w:r>
      <w:r w:rsidR="00A72F7C" w:rsidRPr="00634A0D">
        <w:rPr>
          <w:rFonts w:cstheme="minorHAnsi"/>
        </w:rPr>
        <w:t xml:space="preserve">based in Sweden </w:t>
      </w:r>
      <w:r w:rsidRPr="00634A0D">
        <w:rPr>
          <w:rFonts w:cstheme="minorHAnsi"/>
        </w:rPr>
        <w:t xml:space="preserve">in </w:t>
      </w:r>
      <w:r w:rsidRPr="00634A0D">
        <w:rPr>
          <w:rFonts w:cstheme="minorHAnsi"/>
          <w:color w:val="202122"/>
          <w:shd w:val="clear" w:color="auto" w:fill="FFFFFF"/>
        </w:rPr>
        <w:t xml:space="preserve">the forestry, woodworking furniture and graphic industries and </w:t>
      </w:r>
      <w:r w:rsidR="00634A0D" w:rsidRPr="00634A0D">
        <w:rPr>
          <w:rFonts w:cstheme="minorHAnsi"/>
          <w:color w:val="202122"/>
          <w:shd w:val="clear" w:color="auto" w:fill="FFFFFF"/>
        </w:rPr>
        <w:t>in</w:t>
      </w:r>
      <w:r w:rsidR="00436DE9" w:rsidRPr="00634A0D">
        <w:rPr>
          <w:rFonts w:cstheme="minorHAnsi"/>
          <w:color w:val="202122"/>
          <w:shd w:val="clear" w:color="auto" w:fill="FFFFFF"/>
        </w:rPr>
        <w:t xml:space="preserve"> </w:t>
      </w:r>
      <w:r w:rsidR="00D773A9" w:rsidRPr="00634A0D">
        <w:rPr>
          <w:rFonts w:cstheme="minorHAnsi"/>
          <w:color w:val="202122"/>
          <w:shd w:val="clear" w:color="auto" w:fill="FFFFFF"/>
        </w:rPr>
        <w:t>IKEA</w:t>
      </w:r>
      <w:r w:rsidRPr="00634A0D">
        <w:rPr>
          <w:rFonts w:cstheme="minorHAnsi"/>
          <w:color w:val="202122"/>
          <w:shd w:val="clear" w:color="auto" w:fill="FFFFFF"/>
        </w:rPr>
        <w:t xml:space="preserve"> Industry</w:t>
      </w:r>
      <w:r w:rsidR="00436DE9" w:rsidRPr="00634A0D">
        <w:rPr>
          <w:rFonts w:cstheme="minorHAnsi"/>
          <w:color w:val="202122"/>
          <w:shd w:val="clear" w:color="auto" w:fill="FFFFFF"/>
        </w:rPr>
        <w:t>.</w:t>
      </w:r>
      <w:r w:rsidR="008740A8" w:rsidRPr="00634A0D">
        <w:rPr>
          <w:rFonts w:cstheme="minorHAnsi"/>
          <w:color w:val="202122"/>
          <w:shd w:val="clear" w:color="auto" w:fill="FFFFFF"/>
        </w:rPr>
        <w:t xml:space="preserve"> </w:t>
      </w:r>
      <w:r w:rsidR="008F0D81" w:rsidRPr="00634A0D">
        <w:rPr>
          <w:rFonts w:cstheme="minorHAnsi"/>
          <w:color w:val="202122"/>
          <w:shd w:val="clear" w:color="auto" w:fill="FFFFFF"/>
        </w:rPr>
        <w:t xml:space="preserve">GS </w:t>
      </w:r>
      <w:proofErr w:type="spellStart"/>
      <w:r w:rsidR="008F0D81" w:rsidRPr="00634A0D">
        <w:rPr>
          <w:rFonts w:cstheme="minorHAnsi"/>
          <w:color w:val="202122"/>
          <w:shd w:val="clear" w:color="auto" w:fill="FFFFFF"/>
        </w:rPr>
        <w:t>Facket</w:t>
      </w:r>
      <w:proofErr w:type="spellEnd"/>
      <w:r w:rsidR="008F0D81" w:rsidRPr="00634A0D">
        <w:rPr>
          <w:rFonts w:cstheme="minorHAnsi"/>
          <w:color w:val="202122"/>
          <w:shd w:val="clear" w:color="auto" w:fill="FFFFFF"/>
        </w:rPr>
        <w:t xml:space="preserve"> is also involved in the Inter IKEA EU Works Council as supporting expert. </w:t>
      </w:r>
      <w:r w:rsidR="00B91A8C" w:rsidRPr="00634A0D">
        <w:rPr>
          <w:rFonts w:cstheme="minorHAnsi"/>
          <w:color w:val="202122"/>
          <w:shd w:val="clear" w:color="auto" w:fill="FFFFFF"/>
        </w:rPr>
        <w:t>All three trade unions have been involved in the IFA negotiations with IKEA.</w:t>
      </w:r>
    </w:p>
    <w:p w14:paraId="0799DC85" w14:textId="77777777" w:rsidR="00ED00C5" w:rsidRPr="00957772" w:rsidRDefault="00ED00C5" w:rsidP="00ED00C5">
      <w:pPr>
        <w:spacing w:before="100" w:beforeAutospacing="1" w:after="100" w:afterAutospacing="1" w:line="240" w:lineRule="auto"/>
        <w:rPr>
          <w:rFonts w:cstheme="minorHAnsi"/>
        </w:rPr>
      </w:pPr>
      <w:r w:rsidRPr="009B00E8">
        <w:rPr>
          <w:rFonts w:cstheme="minorHAnsi"/>
        </w:rPr>
        <w:t>Based on the above, the Dutch NCP is of the opinion that the</w:t>
      </w:r>
      <w:r w:rsidR="00CE49E0" w:rsidRPr="009B00E8">
        <w:rPr>
          <w:rFonts w:cstheme="minorHAnsi"/>
        </w:rPr>
        <w:t xml:space="preserve"> notifying parties</w:t>
      </w:r>
      <w:r w:rsidRPr="009B00E8">
        <w:rPr>
          <w:rFonts w:cstheme="minorHAnsi"/>
        </w:rPr>
        <w:t xml:space="preserve"> have a legitimate interest in the issues raised in the notification</w:t>
      </w:r>
      <w:r w:rsidRPr="00957772">
        <w:rPr>
          <w:rFonts w:cstheme="minorHAnsi"/>
        </w:rPr>
        <w:t>.</w:t>
      </w:r>
    </w:p>
    <w:p w14:paraId="34ADA060" w14:textId="77777777" w:rsidR="00EE5A5E" w:rsidRPr="00BB2B41" w:rsidRDefault="00EE5A5E" w:rsidP="004170D9">
      <w:pPr>
        <w:spacing w:after="0"/>
        <w:rPr>
          <w:b/>
        </w:rPr>
      </w:pPr>
      <w:r w:rsidRPr="00BB2B41">
        <w:rPr>
          <w:b/>
        </w:rPr>
        <w:t>Are the issues raised by the submitter(s) material and substantiated?</w:t>
      </w:r>
    </w:p>
    <w:p w14:paraId="69735525" w14:textId="7DC5EC7D" w:rsidR="000A428A" w:rsidRDefault="00E0724A" w:rsidP="004570C1">
      <w:pPr>
        <w:spacing w:after="240"/>
      </w:pPr>
      <w:r>
        <w:t xml:space="preserve">Based on the </w:t>
      </w:r>
      <w:r w:rsidRPr="00286605">
        <w:t>information received the NCP finds the issues raised material and substantiated</w:t>
      </w:r>
      <w:r w:rsidR="009B4341" w:rsidRPr="00286605">
        <w:t>, meaning they are plausible</w:t>
      </w:r>
      <w:r w:rsidR="009B4341">
        <w:t xml:space="preserve"> and related</w:t>
      </w:r>
      <w:r>
        <w:t xml:space="preserve"> to Chapter V Employment and Ind</w:t>
      </w:r>
      <w:r w:rsidR="00ED00C5">
        <w:t>ustrial Relations, para 2</w:t>
      </w:r>
      <w:r w:rsidR="00A961BA">
        <w:t>c</w:t>
      </w:r>
      <w:r w:rsidR="00ED00C5">
        <w:t xml:space="preserve"> and 6</w:t>
      </w:r>
      <w:r w:rsidR="009B4341">
        <w:t xml:space="preserve"> of the Guidelines</w:t>
      </w:r>
      <w:r w:rsidR="00ED00C5">
        <w:t>.</w:t>
      </w:r>
    </w:p>
    <w:p w14:paraId="08C261F1" w14:textId="77777777" w:rsidR="009B4341" w:rsidRPr="00BB2B41" w:rsidRDefault="00EE5A5E" w:rsidP="004170D9">
      <w:pPr>
        <w:spacing w:after="0"/>
        <w:rPr>
          <w:b/>
        </w:rPr>
      </w:pPr>
      <w:r w:rsidRPr="00BB2B41">
        <w:rPr>
          <w:b/>
        </w:rPr>
        <w:lastRenderedPageBreak/>
        <w:t>Is there a link between the activities of the enterprise and the issues raised?</w:t>
      </w:r>
      <w:r w:rsidR="009B4341" w:rsidRPr="00BB2B41">
        <w:rPr>
          <w:b/>
        </w:rPr>
        <w:t xml:space="preserve"> Is the Dutch NCP the right entity to assess the alleged violation against Inter IKEA?</w:t>
      </w:r>
    </w:p>
    <w:p w14:paraId="7E8BF75F" w14:textId="38A990E9" w:rsidR="00B234ED" w:rsidRDefault="001F1752" w:rsidP="004570C1">
      <w:pPr>
        <w:spacing w:after="240"/>
      </w:pPr>
      <w:r>
        <w:t>The IKEA site in Danville</w:t>
      </w:r>
      <w:r w:rsidR="008740A8">
        <w:t>, US</w:t>
      </w:r>
      <w:r>
        <w:t xml:space="preserve"> is owned by </w:t>
      </w:r>
      <w:r w:rsidR="00D773A9">
        <w:t>IKEA</w:t>
      </w:r>
      <w:r w:rsidR="00DF7DE1">
        <w:t xml:space="preserve"> Industry AB</w:t>
      </w:r>
      <w:r>
        <w:t xml:space="preserve">, which is </w:t>
      </w:r>
      <w:r w:rsidR="00DF7DE1">
        <w:t>a</w:t>
      </w:r>
      <w:r w:rsidR="009B4341">
        <w:t xml:space="preserve"> in Sweden based</w:t>
      </w:r>
      <w:r w:rsidR="00DF7DE1">
        <w:t xml:space="preserve"> subsidiary of </w:t>
      </w:r>
      <w:r w:rsidR="008740A8">
        <w:t xml:space="preserve">the Netherlands based </w:t>
      </w:r>
      <w:r w:rsidR="00DF7DE1">
        <w:t xml:space="preserve">Inter </w:t>
      </w:r>
      <w:r w:rsidR="00D773A9">
        <w:t>IKEA</w:t>
      </w:r>
      <w:r w:rsidR="00DF7DE1">
        <w:t xml:space="preserve">. </w:t>
      </w:r>
      <w:r w:rsidR="008740A8">
        <w:t>According to the information provided by the enterprise, t</w:t>
      </w:r>
      <w:r w:rsidR="002E04FC">
        <w:t xml:space="preserve">he decision to close the US based </w:t>
      </w:r>
      <w:r w:rsidR="00D773A9">
        <w:t>IKEA</w:t>
      </w:r>
      <w:r w:rsidR="002E04FC">
        <w:t xml:space="preserve"> facili</w:t>
      </w:r>
      <w:r w:rsidR="00DF7DE1">
        <w:t>ty was taken by</w:t>
      </w:r>
      <w:r w:rsidR="002E04FC">
        <w:t xml:space="preserve"> the </w:t>
      </w:r>
      <w:r w:rsidR="00D773A9">
        <w:t>IKEA</w:t>
      </w:r>
      <w:r w:rsidR="002E04FC">
        <w:t xml:space="preserve"> Industry AB board</w:t>
      </w:r>
      <w:r w:rsidR="008740A8">
        <w:t xml:space="preserve"> and</w:t>
      </w:r>
      <w:r w:rsidR="00DD650A">
        <w:t xml:space="preserve"> t</w:t>
      </w:r>
      <w:r w:rsidR="00436DE9">
        <w:t xml:space="preserve">he CEO and CFO of Inter </w:t>
      </w:r>
      <w:r w:rsidR="00D773A9">
        <w:t>IKEA</w:t>
      </w:r>
      <w:r w:rsidR="008740A8">
        <w:t xml:space="preserve"> were board members</w:t>
      </w:r>
      <w:r w:rsidR="00DD650A">
        <w:t xml:space="preserve"> </w:t>
      </w:r>
      <w:r w:rsidR="00811999">
        <w:t xml:space="preserve">of IKEA Industry AB </w:t>
      </w:r>
      <w:r w:rsidR="00DD650A">
        <w:t>at the time</w:t>
      </w:r>
      <w:r w:rsidR="00436DE9">
        <w:t xml:space="preserve">. </w:t>
      </w:r>
      <w:r w:rsidR="00E0724A">
        <w:t>A</w:t>
      </w:r>
      <w:r w:rsidR="008740A8">
        <w:t>fterwards</w:t>
      </w:r>
      <w:r w:rsidR="00E0724A">
        <w:t>, t</w:t>
      </w:r>
      <w:r w:rsidR="00436DE9">
        <w:t>he closure was</w:t>
      </w:r>
      <w:r w:rsidR="00555670">
        <w:t xml:space="preserve"> </w:t>
      </w:r>
      <w:r w:rsidR="00555670" w:rsidRPr="00634A0D">
        <w:t>confirmed at the E</w:t>
      </w:r>
      <w:r w:rsidR="00436DE9" w:rsidRPr="00634A0D">
        <w:t xml:space="preserve">uropean Works Council in which both </w:t>
      </w:r>
      <w:r w:rsidR="008740A8" w:rsidRPr="00634A0D">
        <w:t xml:space="preserve">IKEA </w:t>
      </w:r>
      <w:r w:rsidR="00436DE9" w:rsidRPr="00634A0D">
        <w:t>entities have a seat</w:t>
      </w:r>
      <w:r w:rsidR="00DF7DE1" w:rsidRPr="00634A0D">
        <w:t>.</w:t>
      </w:r>
      <w:r w:rsidR="00436DE9" w:rsidRPr="00634A0D">
        <w:t xml:space="preserve"> </w:t>
      </w:r>
      <w:r w:rsidR="00A56DAE" w:rsidRPr="00634A0D">
        <w:t xml:space="preserve">While </w:t>
      </w:r>
      <w:r w:rsidR="00B234ED" w:rsidRPr="00634A0D">
        <w:t xml:space="preserve">IKEA Industry </w:t>
      </w:r>
      <w:r w:rsidR="00364FE8">
        <w:t xml:space="preserve">was </w:t>
      </w:r>
      <w:r w:rsidR="00B234ED" w:rsidRPr="00634A0D">
        <w:t xml:space="preserve">the </w:t>
      </w:r>
      <w:r w:rsidR="00952DF5" w:rsidRPr="00634A0D">
        <w:t xml:space="preserve">Inter IKEA subsidiary </w:t>
      </w:r>
      <w:r w:rsidR="00CE6A57" w:rsidRPr="00634A0D">
        <w:t>under which</w:t>
      </w:r>
      <w:r w:rsidR="00952DF5" w:rsidRPr="00634A0D">
        <w:t xml:space="preserve"> </w:t>
      </w:r>
      <w:r w:rsidR="00B234ED" w:rsidRPr="00634A0D">
        <w:t xml:space="preserve">the Danville </w:t>
      </w:r>
      <w:r w:rsidR="00E662C2" w:rsidRPr="00634A0D">
        <w:t xml:space="preserve">facility </w:t>
      </w:r>
      <w:r w:rsidR="00B234ED" w:rsidRPr="00634A0D">
        <w:t xml:space="preserve">was </w:t>
      </w:r>
      <w:r w:rsidR="00CE6A57" w:rsidRPr="00634A0D">
        <w:t xml:space="preserve">operated </w:t>
      </w:r>
      <w:r w:rsidR="007D28B0" w:rsidRPr="00634A0D">
        <w:t>and as such IKEA Industry was</w:t>
      </w:r>
      <w:r w:rsidR="00CE2F95" w:rsidRPr="00634A0D">
        <w:t>,</w:t>
      </w:r>
      <w:r w:rsidR="007D28B0" w:rsidRPr="00634A0D">
        <w:t xml:space="preserve"> presumably</w:t>
      </w:r>
      <w:r w:rsidR="00CE2F95" w:rsidRPr="00634A0D">
        <w:t>,</w:t>
      </w:r>
      <w:r w:rsidR="007D28B0" w:rsidRPr="00634A0D">
        <w:t xml:space="preserve"> </w:t>
      </w:r>
      <w:r w:rsidR="00B234ED" w:rsidRPr="00634A0D">
        <w:t xml:space="preserve">directly involved </w:t>
      </w:r>
      <w:r w:rsidR="009F3D40" w:rsidRPr="00634A0D">
        <w:t xml:space="preserve">in the </w:t>
      </w:r>
      <w:r w:rsidR="007D28B0" w:rsidRPr="00634A0D">
        <w:t xml:space="preserve">decision </w:t>
      </w:r>
      <w:r w:rsidR="00E662C2" w:rsidRPr="00634A0D">
        <w:t xml:space="preserve">to </w:t>
      </w:r>
      <w:r w:rsidR="009F3D40" w:rsidRPr="00634A0D">
        <w:t>clos</w:t>
      </w:r>
      <w:r w:rsidR="00394CA7">
        <w:t>e the Danville facility</w:t>
      </w:r>
      <w:r w:rsidR="00B234ED" w:rsidRPr="00634A0D">
        <w:t xml:space="preserve">, </w:t>
      </w:r>
      <w:r w:rsidR="008740A8" w:rsidRPr="00634A0D">
        <w:t xml:space="preserve">the NCP concludes </w:t>
      </w:r>
      <w:r w:rsidR="00E662C2" w:rsidRPr="00634A0D">
        <w:t xml:space="preserve">that </w:t>
      </w:r>
      <w:r w:rsidR="006A34CB" w:rsidRPr="00634A0D">
        <w:t>Inter IKEA</w:t>
      </w:r>
      <w:r w:rsidR="00B234ED" w:rsidRPr="00634A0D">
        <w:t xml:space="preserve"> was part of the </w:t>
      </w:r>
      <w:proofErr w:type="gramStart"/>
      <w:r w:rsidR="00B234ED" w:rsidRPr="00634A0D">
        <w:t>decision making</w:t>
      </w:r>
      <w:proofErr w:type="gramEnd"/>
      <w:r w:rsidR="00B234ED" w:rsidRPr="00634A0D">
        <w:t xml:space="preserve"> process</w:t>
      </w:r>
      <w:r w:rsidR="00E662C2" w:rsidRPr="00634A0D">
        <w:t xml:space="preserve"> as the ultimate parent company and through the </w:t>
      </w:r>
      <w:r w:rsidR="00363FE4" w:rsidRPr="00634A0D">
        <w:t>involvement of the CEO and CFO of Inter IKEA</w:t>
      </w:r>
      <w:r w:rsidR="009F3D40" w:rsidRPr="00634A0D">
        <w:t xml:space="preserve">. </w:t>
      </w:r>
      <w:r w:rsidR="009B4341" w:rsidRPr="00634A0D">
        <w:rPr>
          <w:rFonts w:cstheme="minorHAnsi"/>
          <w:lang w:val="en-GB"/>
        </w:rPr>
        <w:t xml:space="preserve">Therefore, the Dutch NCP believes there to be a link between Inter IKEA and the issues raised in the specific instance and, subsequently, </w:t>
      </w:r>
      <w:r w:rsidR="009B4341" w:rsidRPr="00634A0D">
        <w:t>the Dutch NCP is the right</w:t>
      </w:r>
      <w:r w:rsidR="009B4341">
        <w:t xml:space="preserve"> entity to </w:t>
      </w:r>
      <w:r w:rsidR="006B1E54">
        <w:t xml:space="preserve">further examine </w:t>
      </w:r>
      <w:r w:rsidR="009B4341">
        <w:t xml:space="preserve">the alleged violations </w:t>
      </w:r>
      <w:r w:rsidR="006B1E54">
        <w:t xml:space="preserve">of the Guidelines by </w:t>
      </w:r>
      <w:r w:rsidR="009B4341">
        <w:t>Inter IKEA.</w:t>
      </w:r>
    </w:p>
    <w:p w14:paraId="7965D6F3" w14:textId="77777777" w:rsidR="00DF7DE1" w:rsidRPr="00BB2B41" w:rsidRDefault="00EE5A5E" w:rsidP="004170D9">
      <w:pPr>
        <w:spacing w:after="0"/>
        <w:rPr>
          <w:b/>
        </w:rPr>
      </w:pPr>
      <w:r w:rsidRPr="00BB2B41">
        <w:rPr>
          <w:b/>
        </w:rPr>
        <w:t xml:space="preserve">What is the relevance of applicable legislation and procedures, including court rulings? </w:t>
      </w:r>
    </w:p>
    <w:p w14:paraId="52F42EB3" w14:textId="68F8BBCE" w:rsidR="00DD650A" w:rsidRDefault="00907C11" w:rsidP="004570C1">
      <w:pPr>
        <w:spacing w:after="240"/>
      </w:pPr>
      <w:r>
        <w:t xml:space="preserve">According </w:t>
      </w:r>
      <w:r w:rsidR="000A428A">
        <w:t>to the Guid</w:t>
      </w:r>
      <w:r w:rsidR="000A428A" w:rsidRPr="0056699C">
        <w:t>elines</w:t>
      </w:r>
      <w:r w:rsidRPr="0056699C">
        <w:t>,</w:t>
      </w:r>
      <w:r w:rsidR="000A428A" w:rsidRPr="0056699C">
        <w:t xml:space="preserve"> enterprises </w:t>
      </w:r>
      <w:r w:rsidRPr="0056699C">
        <w:t xml:space="preserve">are </w:t>
      </w:r>
      <w:r w:rsidR="003B2468" w:rsidRPr="0056699C">
        <w:t xml:space="preserve">expected </w:t>
      </w:r>
      <w:r w:rsidRPr="0056699C">
        <w:t>to meet the requirements of domestic legislation</w:t>
      </w:r>
      <w:r w:rsidR="0072178C" w:rsidRPr="0056699C">
        <w:t xml:space="preserve">. </w:t>
      </w:r>
      <w:r w:rsidR="0072178C" w:rsidRPr="0056699C">
        <w:rPr>
          <w:rFonts w:cstheme="minorHAnsi"/>
        </w:rPr>
        <w:t xml:space="preserve">Also, companies are expected, as a minimum, to </w:t>
      </w:r>
      <w:proofErr w:type="gramStart"/>
      <w:r w:rsidR="0072178C" w:rsidRPr="0056699C">
        <w:rPr>
          <w:rFonts w:cstheme="minorHAnsi"/>
        </w:rPr>
        <w:t>make reference</w:t>
      </w:r>
      <w:proofErr w:type="gramEnd"/>
      <w:r w:rsidR="0072178C" w:rsidRPr="0056699C">
        <w:rPr>
          <w:rFonts w:cstheme="minorHAnsi"/>
        </w:rPr>
        <w:t xml:space="preserve"> to international human rights and labour standards</w:t>
      </w:r>
      <w:r w:rsidRPr="0056699C">
        <w:t xml:space="preserve"> </w:t>
      </w:r>
      <w:r w:rsidR="0072178C" w:rsidRPr="0056699C">
        <w:t xml:space="preserve">such </w:t>
      </w:r>
      <w:r w:rsidR="00657252" w:rsidRPr="0056699C">
        <w:t xml:space="preserve">as the </w:t>
      </w:r>
      <w:r w:rsidRPr="0056699C">
        <w:t xml:space="preserve">International </w:t>
      </w:r>
      <w:r w:rsidR="00657252" w:rsidRPr="0056699C">
        <w:t xml:space="preserve">Human Rights Bill and </w:t>
      </w:r>
      <w:r w:rsidR="00DD650A" w:rsidRPr="0056699C">
        <w:t xml:space="preserve">the </w:t>
      </w:r>
      <w:r w:rsidR="00657252" w:rsidRPr="0056699C">
        <w:t xml:space="preserve">ILO </w:t>
      </w:r>
      <w:r w:rsidRPr="0056699C">
        <w:t xml:space="preserve">fundamental rights </w:t>
      </w:r>
      <w:r w:rsidR="00657252" w:rsidRPr="0056699C">
        <w:t>principles</w:t>
      </w:r>
      <w:r w:rsidRPr="0056699C">
        <w:t xml:space="preserve"> (</w:t>
      </w:r>
      <w:r>
        <w:t>Chapter I para 1, Chapter IV para 39)</w:t>
      </w:r>
      <w:r w:rsidR="00657252">
        <w:t xml:space="preserve">. </w:t>
      </w:r>
    </w:p>
    <w:p w14:paraId="150A391E" w14:textId="57E9DE98" w:rsidR="000A428A" w:rsidRPr="00D21E78" w:rsidRDefault="00394CA7" w:rsidP="004570C1">
      <w:pPr>
        <w:spacing w:after="240"/>
        <w:rPr>
          <w:color w:val="000000" w:themeColor="text1"/>
        </w:rPr>
      </w:pPr>
      <w:proofErr w:type="gramStart"/>
      <w:r w:rsidRPr="00D21E78">
        <w:rPr>
          <w:color w:val="000000" w:themeColor="text1"/>
        </w:rPr>
        <w:t>With regard to</w:t>
      </w:r>
      <w:proofErr w:type="gramEnd"/>
      <w:r w:rsidRPr="00D21E78">
        <w:rPr>
          <w:color w:val="000000" w:themeColor="text1"/>
        </w:rPr>
        <w:t xml:space="preserve"> the closure of the Danville site in the US, in principle </w:t>
      </w:r>
      <w:r w:rsidR="008740A8" w:rsidRPr="00D21E78">
        <w:rPr>
          <w:color w:val="000000" w:themeColor="text1"/>
        </w:rPr>
        <w:t>US law is applicable</w:t>
      </w:r>
      <w:r w:rsidR="0031540F" w:rsidRPr="00D21E78">
        <w:rPr>
          <w:color w:val="000000" w:themeColor="text1"/>
        </w:rPr>
        <w:t>. The NCP is not aware of any relevant court rulings.</w:t>
      </w:r>
    </w:p>
    <w:p w14:paraId="17970BE4" w14:textId="77777777" w:rsidR="00EE5A5E" w:rsidRPr="00BB2B41" w:rsidRDefault="00EE5A5E" w:rsidP="004170D9">
      <w:pPr>
        <w:spacing w:after="0"/>
        <w:rPr>
          <w:b/>
        </w:rPr>
      </w:pPr>
      <w:r w:rsidRPr="00BB2B41">
        <w:rPr>
          <w:b/>
        </w:rPr>
        <w:t>How similar issues have been, or are being, treated in other domestic or international proceedings?</w:t>
      </w:r>
    </w:p>
    <w:p w14:paraId="18AFF6A2" w14:textId="77777777" w:rsidR="00EE5A5E" w:rsidRDefault="00206935" w:rsidP="004570C1">
      <w:pPr>
        <w:spacing w:after="240"/>
      </w:pPr>
      <w:r>
        <w:t xml:space="preserve">The NCP is not aware of any </w:t>
      </w:r>
      <w:r w:rsidR="00455649">
        <w:t xml:space="preserve">past or ongoing </w:t>
      </w:r>
      <w:r>
        <w:t>parallel proceedings.</w:t>
      </w:r>
    </w:p>
    <w:p w14:paraId="4A75B429" w14:textId="77777777" w:rsidR="00EE5A5E" w:rsidRPr="00BB2B41" w:rsidRDefault="00EE5A5E" w:rsidP="004170D9">
      <w:pPr>
        <w:spacing w:after="0"/>
        <w:rPr>
          <w:b/>
        </w:rPr>
      </w:pPr>
      <w:r w:rsidRPr="00BB2B41">
        <w:rPr>
          <w:b/>
        </w:rPr>
        <w:t>Would considering this submission contribute to achieving the Guidelines’ objectives and enhancing their effectiveness?</w:t>
      </w:r>
    </w:p>
    <w:p w14:paraId="208D62A9" w14:textId="3A17E5B9" w:rsidR="00FF31BA" w:rsidRDefault="0031540F" w:rsidP="00FF31BA">
      <w:pPr>
        <w:spacing w:after="0"/>
        <w:contextualSpacing/>
      </w:pPr>
      <w:r>
        <w:t xml:space="preserve">The </w:t>
      </w:r>
      <w:r w:rsidR="00CF07D3">
        <w:t xml:space="preserve">Guidelines aim to ensure that the operations of </w:t>
      </w:r>
      <w:r w:rsidR="00FF31BA">
        <w:t>“</w:t>
      </w:r>
      <w:r w:rsidR="00CF07D3">
        <w:t>enterprises are in harmony with government policies</w:t>
      </w:r>
      <w:r w:rsidR="00FF31BA">
        <w:t>, to</w:t>
      </w:r>
      <w:r w:rsidR="00CF07D3">
        <w:t xml:space="preserve"> strengthen the basis of mutual confidence between enterprises and the societies in which they operate</w:t>
      </w:r>
      <w:r w:rsidR="00FF31BA">
        <w:t>”</w:t>
      </w:r>
      <w:r w:rsidR="00CF07D3">
        <w:t xml:space="preserve"> (Preface, para 1). </w:t>
      </w:r>
      <w:r w:rsidR="00AF7AFD">
        <w:t xml:space="preserve">The NCP is of the opinion that </w:t>
      </w:r>
      <w:r w:rsidR="00E22A0F">
        <w:t xml:space="preserve">the </w:t>
      </w:r>
      <w:r w:rsidR="00AF7AFD">
        <w:t>c</w:t>
      </w:r>
      <w:r w:rsidR="00CF07D3">
        <w:t>onsider</w:t>
      </w:r>
      <w:r w:rsidR="00E22A0F">
        <w:t>ation of</w:t>
      </w:r>
      <w:r w:rsidR="00CF07D3">
        <w:t xml:space="preserve"> the underlying </w:t>
      </w:r>
      <w:r w:rsidR="00FF31BA">
        <w:t>submission</w:t>
      </w:r>
      <w:r>
        <w:t xml:space="preserve"> </w:t>
      </w:r>
      <w:r w:rsidR="00603927" w:rsidRPr="00634A0D">
        <w:t xml:space="preserve">can </w:t>
      </w:r>
      <w:r w:rsidRPr="00634A0D">
        <w:t xml:space="preserve">contribute to </w:t>
      </w:r>
      <w:r w:rsidR="00CF07D3" w:rsidRPr="00634A0D">
        <w:t xml:space="preserve">the </w:t>
      </w:r>
      <w:r w:rsidR="009D0EEC" w:rsidRPr="00634A0D">
        <w:t xml:space="preserve">fulfillment of </w:t>
      </w:r>
      <w:r w:rsidR="00FF31BA" w:rsidRPr="00634A0D">
        <w:t>Inter IKEA</w:t>
      </w:r>
      <w:r w:rsidR="009D0EEC" w:rsidRPr="00634A0D">
        <w:t xml:space="preserve">’s responsibilities under </w:t>
      </w:r>
      <w:r w:rsidR="00FF31BA" w:rsidRPr="00634A0D">
        <w:t>the</w:t>
      </w:r>
      <w:r w:rsidR="00CF07D3" w:rsidRPr="00634A0D">
        <w:t xml:space="preserve"> Employment and Industrial Relations </w:t>
      </w:r>
      <w:r w:rsidR="00AF7AFD" w:rsidRPr="00634A0D">
        <w:t>Chapter</w:t>
      </w:r>
      <w:r w:rsidR="0072178C" w:rsidRPr="00634A0D">
        <w:t xml:space="preserve"> </w:t>
      </w:r>
      <w:r w:rsidR="00AF7AFD" w:rsidRPr="00634A0D">
        <w:t>as well as its</w:t>
      </w:r>
      <w:r w:rsidR="00CF07D3" w:rsidRPr="00634A0D">
        <w:t xml:space="preserve"> responsibilities </w:t>
      </w:r>
      <w:r w:rsidR="00AC2AD7" w:rsidRPr="00634A0D">
        <w:t xml:space="preserve">to exercise due diligence throughout </w:t>
      </w:r>
      <w:r w:rsidR="00FF31BA" w:rsidRPr="00634A0D">
        <w:t xml:space="preserve">its subsidiaries. </w:t>
      </w:r>
      <w:r w:rsidR="00CE49E0" w:rsidRPr="00634A0D">
        <w:t>T</w:t>
      </w:r>
      <w:r w:rsidR="00CE49E0">
        <w:t>he OECD Due Diligence Guidance for Responsible Business Conduct (</w:t>
      </w:r>
      <w:r w:rsidR="00CE49E0" w:rsidRPr="00CE49E0">
        <w:rPr>
          <w:highlight w:val="yellow"/>
        </w:rPr>
        <w:t>insert link</w:t>
      </w:r>
      <w:r w:rsidR="00CE49E0">
        <w:t>) may be a helpful tool in this regard.</w:t>
      </w:r>
      <w:r w:rsidR="008740A8">
        <w:t xml:space="preserve"> </w:t>
      </w:r>
    </w:p>
    <w:p w14:paraId="6B0EB819" w14:textId="77777777" w:rsidR="00CE49E0" w:rsidRDefault="00CE49E0" w:rsidP="00FF31BA">
      <w:pPr>
        <w:spacing w:after="0"/>
        <w:contextualSpacing/>
        <w:rPr>
          <w:rFonts w:cstheme="minorHAnsi"/>
          <w:lang w:val="en-GB"/>
        </w:rPr>
      </w:pPr>
    </w:p>
    <w:p w14:paraId="2EB97498" w14:textId="367C4491" w:rsidR="00EE5A5E" w:rsidRDefault="00DD650A" w:rsidP="004170D9">
      <w:pPr>
        <w:spacing w:after="480"/>
      </w:pPr>
      <w:r>
        <w:t xml:space="preserve">Taking into account the </w:t>
      </w:r>
      <w:proofErr w:type="gramStart"/>
      <w:r w:rsidRPr="00634A0D">
        <w:t>forward looking</w:t>
      </w:r>
      <w:proofErr w:type="gramEnd"/>
      <w:r w:rsidRPr="00634A0D">
        <w:t xml:space="preserve"> resolution </w:t>
      </w:r>
      <w:r w:rsidR="00394CA7">
        <w:t xml:space="preserve">of the issues raised which </w:t>
      </w:r>
      <w:r w:rsidRPr="00634A0D">
        <w:t xml:space="preserve">the notifying parties </w:t>
      </w:r>
      <w:r w:rsidR="00394CA7">
        <w:t>is</w:t>
      </w:r>
      <w:r w:rsidRPr="00634A0D">
        <w:t xml:space="preserve"> seeking</w:t>
      </w:r>
      <w:r w:rsidR="00FF31BA" w:rsidRPr="00634A0D">
        <w:t xml:space="preserve">, the NCP believes it can facilitate a mediation process </w:t>
      </w:r>
      <w:r w:rsidR="00FD1A7D" w:rsidRPr="00634A0D">
        <w:t>between the</w:t>
      </w:r>
      <w:r w:rsidR="00FF31BA" w:rsidRPr="00634A0D">
        <w:t xml:space="preserve"> parties </w:t>
      </w:r>
      <w:r w:rsidR="009B44A9" w:rsidRPr="00634A0D">
        <w:t xml:space="preserve">with the aim to </w:t>
      </w:r>
      <w:r w:rsidR="00FF31BA" w:rsidRPr="00634A0D">
        <w:t>reach a</w:t>
      </w:r>
      <w:r w:rsidR="009B44A9" w:rsidRPr="00634A0D">
        <w:t xml:space="preserve"> forward looking</w:t>
      </w:r>
      <w:r w:rsidR="00FF31BA" w:rsidRPr="00634A0D">
        <w:t xml:space="preserve"> agreement.</w:t>
      </w:r>
    </w:p>
    <w:p w14:paraId="655AB6D0" w14:textId="77777777" w:rsidR="00682276" w:rsidRPr="00682276" w:rsidRDefault="00682276" w:rsidP="00BB2B41">
      <w:pPr>
        <w:pStyle w:val="Heading1"/>
        <w:numPr>
          <w:ilvl w:val="0"/>
          <w:numId w:val="3"/>
        </w:numPr>
        <w:spacing w:before="0" w:line="259" w:lineRule="auto"/>
        <w:ind w:left="357" w:hanging="357"/>
        <w:rPr>
          <w:rFonts w:asciiTheme="minorHAnsi" w:hAnsiTheme="minorHAnsi" w:cstheme="minorHAnsi"/>
          <w:sz w:val="28"/>
          <w:szCs w:val="28"/>
        </w:rPr>
      </w:pPr>
      <w:bookmarkStart w:id="4" w:name="_Toc84860557"/>
      <w:r w:rsidRPr="00682276">
        <w:rPr>
          <w:rFonts w:asciiTheme="minorHAnsi" w:hAnsiTheme="minorHAnsi" w:cstheme="minorHAnsi"/>
          <w:sz w:val="28"/>
          <w:szCs w:val="28"/>
        </w:rPr>
        <w:t>Conclusion</w:t>
      </w:r>
      <w:bookmarkEnd w:id="4"/>
    </w:p>
    <w:p w14:paraId="366926B5" w14:textId="77777777" w:rsidR="00164ABD" w:rsidRPr="00164ABD" w:rsidRDefault="00164ABD" w:rsidP="004570C1">
      <w:pPr>
        <w:pStyle w:val="Para"/>
        <w:numPr>
          <w:ilvl w:val="0"/>
          <w:numId w:val="0"/>
        </w:numPr>
        <w:tabs>
          <w:tab w:val="left" w:pos="708"/>
        </w:tabs>
        <w:spacing w:before="0" w:after="480" w:line="259" w:lineRule="auto"/>
      </w:pPr>
      <w:r w:rsidRPr="00164ABD">
        <w:rPr>
          <w:iCs/>
          <w:sz w:val="22"/>
        </w:rPr>
        <w:t xml:space="preserve">The NCP concludes that this specific instance merits further consideration. The conclusions reached by the NCP in this initial assessment rest on the criteria laid out in the commentary to the Procedural Guidance, para 25 and are based on the information received from both parties. The NCP does not </w:t>
      </w:r>
      <w:r w:rsidRPr="00164ABD">
        <w:rPr>
          <w:iCs/>
          <w:sz w:val="22"/>
        </w:rPr>
        <w:lastRenderedPageBreak/>
        <w:t>express an opinion on the correctness of the statements of the parties or the validity of the documentation provided by them.</w:t>
      </w:r>
    </w:p>
    <w:p w14:paraId="314396DD" w14:textId="77777777" w:rsidR="00682276" w:rsidRPr="00682276" w:rsidRDefault="00E86BD8" w:rsidP="00BB2B41">
      <w:pPr>
        <w:pStyle w:val="Heading1"/>
        <w:numPr>
          <w:ilvl w:val="0"/>
          <w:numId w:val="3"/>
        </w:numPr>
        <w:spacing w:before="0" w:line="259" w:lineRule="auto"/>
        <w:ind w:left="357" w:hanging="357"/>
        <w:rPr>
          <w:rFonts w:asciiTheme="minorHAnsi" w:hAnsiTheme="minorHAnsi" w:cstheme="minorHAnsi"/>
          <w:sz w:val="28"/>
          <w:szCs w:val="28"/>
        </w:rPr>
      </w:pPr>
      <w:bookmarkStart w:id="5" w:name="_Toc84860558"/>
      <w:r>
        <w:rPr>
          <w:rFonts w:asciiTheme="minorHAnsi" w:hAnsiTheme="minorHAnsi" w:cstheme="minorHAnsi"/>
          <w:sz w:val="28"/>
          <w:szCs w:val="28"/>
        </w:rPr>
        <w:t>Next s</w:t>
      </w:r>
      <w:r w:rsidR="00682276" w:rsidRPr="00682276">
        <w:rPr>
          <w:rFonts w:asciiTheme="minorHAnsi" w:hAnsiTheme="minorHAnsi" w:cstheme="minorHAnsi"/>
          <w:sz w:val="28"/>
          <w:szCs w:val="28"/>
        </w:rPr>
        <w:t>teps</w:t>
      </w:r>
      <w:bookmarkEnd w:id="5"/>
    </w:p>
    <w:p w14:paraId="06582A7F" w14:textId="77777777" w:rsidR="00164ABD" w:rsidRPr="00164ABD" w:rsidRDefault="00164ABD" w:rsidP="004570C1">
      <w:r w:rsidRPr="00164ABD">
        <w:rPr>
          <w:iCs/>
        </w:rPr>
        <w:t xml:space="preserve">The NCP accepts this case for further examination and offers its good offices to the parties. The NCP will ask both parties whether they are willing to engage in a mediation/conciliation process, with the aim of agreeing how the issues can be successfully addressed. If the parties cannot reach agreement </w:t>
      </w:r>
      <w:proofErr w:type="gramStart"/>
      <w:r w:rsidRPr="00164ABD">
        <w:rPr>
          <w:iCs/>
        </w:rPr>
        <w:t>as a result of</w:t>
      </w:r>
      <w:proofErr w:type="gramEnd"/>
      <w:r w:rsidRPr="00164ABD">
        <w:rPr>
          <w:iCs/>
        </w:rPr>
        <w:t xml:space="preserve"> the good offices, the NCP will examine the issues and provide recommendations.</w:t>
      </w:r>
    </w:p>
    <w:p w14:paraId="22620A8F" w14:textId="77777777" w:rsidR="00C43F9C" w:rsidRPr="00164ABD" w:rsidRDefault="00C43F9C" w:rsidP="004D68BA">
      <w:pPr>
        <w:spacing w:before="240" w:after="0"/>
        <w:contextualSpacing/>
        <w:rPr>
          <w:rFonts w:cstheme="minorHAnsi"/>
        </w:rPr>
      </w:pPr>
    </w:p>
    <w:p w14:paraId="6CD7F21A" w14:textId="77777777" w:rsidR="00C43F9C" w:rsidRPr="00FD4A30" w:rsidRDefault="00C43F9C" w:rsidP="004D68BA">
      <w:pPr>
        <w:spacing w:before="240" w:after="0"/>
        <w:contextualSpacing/>
        <w:rPr>
          <w:rFonts w:cstheme="minorHAnsi"/>
        </w:rPr>
      </w:pPr>
    </w:p>
    <w:p w14:paraId="71E6D137" w14:textId="77777777" w:rsidR="00B21DCF" w:rsidRPr="00FD4A30" w:rsidRDefault="00B21DCF" w:rsidP="004D68BA">
      <w:pPr>
        <w:spacing w:before="240" w:after="0"/>
        <w:contextualSpacing/>
        <w:rPr>
          <w:rFonts w:cstheme="minorHAnsi"/>
        </w:rPr>
      </w:pPr>
    </w:p>
    <w:p w14:paraId="3EF529FC" w14:textId="155F8A83" w:rsidR="00B21DCF" w:rsidRPr="00FD4A30" w:rsidRDefault="00B21DCF" w:rsidP="004D68BA">
      <w:pPr>
        <w:spacing w:before="240" w:after="0"/>
        <w:contextualSpacing/>
        <w:rPr>
          <w:rFonts w:cstheme="minorHAnsi"/>
        </w:rPr>
      </w:pPr>
      <w:r w:rsidRPr="00FD4A30">
        <w:rPr>
          <w:rFonts w:cstheme="minorHAnsi"/>
          <w:noProof/>
          <w:lang w:val="nl-NL" w:eastAsia="nl-NL"/>
        </w:rPr>
        <mc:AlternateContent>
          <mc:Choice Requires="wps">
            <w:drawing>
              <wp:inline distT="0" distB="0" distL="0" distR="0" wp14:anchorId="20EDE3EF" wp14:editId="00EAEBFA">
                <wp:extent cx="3790950" cy="1404620"/>
                <wp:effectExtent l="0" t="0" r="19050" b="2095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1404620"/>
                        </a:xfrm>
                        <a:prstGeom prst="rect">
                          <a:avLst/>
                        </a:prstGeom>
                        <a:solidFill>
                          <a:srgbClr val="FFFFFF"/>
                        </a:solidFill>
                        <a:ln w="9525">
                          <a:solidFill>
                            <a:srgbClr val="000000"/>
                          </a:solidFill>
                          <a:miter lim="800000"/>
                          <a:headEnd/>
                          <a:tailEnd/>
                        </a:ln>
                      </wps:spPr>
                      <wps:txbx>
                        <w:txbxContent>
                          <w:p w14:paraId="297B535F" w14:textId="77777777" w:rsidR="00B21DCF" w:rsidRPr="00DE4D60" w:rsidRDefault="00DE4D60" w:rsidP="00DE4D60">
                            <w:pPr>
                              <w:shd w:val="clear" w:color="auto" w:fill="2F5496" w:themeFill="accent5" w:themeFillShade="BF"/>
                              <w:rPr>
                                <w:color w:val="FFFFFF" w:themeColor="background1"/>
                              </w:rPr>
                            </w:pPr>
                            <w:r w:rsidRPr="004D33A4">
                              <w:rPr>
                                <w:rFonts w:ascii="Verdana" w:hAnsi="Verdana"/>
                                <w:color w:val="FFFFFF" w:themeColor="background1"/>
                                <w:sz w:val="18"/>
                                <w:szCs w:val="18"/>
                                <w:highlight w:val="red"/>
                              </w:rPr>
                              <w:t>The role of National Contact Points (NCPs) is to further the effectiveness of the OECD Guidelines.</w:t>
                            </w:r>
                            <w:r w:rsidRPr="00E8754E">
                              <w:rPr>
                                <w:rFonts w:ascii="Verdana" w:hAnsi="Verdana"/>
                                <w:color w:val="FFFFFF" w:themeColor="background1"/>
                                <w:sz w:val="18"/>
                                <w:szCs w:val="18"/>
                              </w:rPr>
                              <w:t xml:space="preserve"> The Dutch government has chosen to establish an independent NCP, which is responsible for its own procedures and decisions, in accordance with the Procedural Guidance section of the Guidelines. In line with this, the Dutch NCP consists of four independent members, supported by four advisory government officials from the most relevant ministries. The NCP Secretariat is hosted by the Ministry of Foreign Affairs. The Minister for Foreign Trade and Development Cooperation is politically responsible for the functioning of the Dutch NCP. More information on the OECD Guidelines and the NCP can be found on the </w:t>
                            </w:r>
                            <w:hyperlink r:id="rId12" w:history="1">
                              <w:r w:rsidRPr="00E8754E">
                                <w:rPr>
                                  <w:rStyle w:val="Hyperlink"/>
                                  <w:rFonts w:ascii="Verdana" w:hAnsi="Verdana"/>
                                  <w:color w:val="FFFFFF" w:themeColor="background1"/>
                                  <w:sz w:val="18"/>
                                  <w:szCs w:val="18"/>
                                </w:rPr>
                                <w:t>NCP Website</w:t>
                              </w:r>
                            </w:hyperlink>
                          </w:p>
                        </w:txbxContent>
                      </wps:txbx>
                      <wps:bodyPr rot="0" vert="horz" wrap="square" lIns="91440" tIns="45720" rIns="91440" bIns="45720" anchor="t" anchorCtr="0">
                        <a:spAutoFit/>
                      </wps:bodyPr>
                    </wps:wsp>
                  </a:graphicData>
                </a:graphic>
              </wp:inline>
            </w:drawing>
          </mc:Choice>
          <mc:Fallback>
            <w:pict>
              <v:shapetype w14:anchorId="20EDE3EF" id="_x0000_t202" coordsize="21600,21600" o:spt="202" path="m,l,21600r21600,l21600,xe">
                <v:stroke joinstyle="miter"/>
                <v:path gradientshapeok="t" o:connecttype="rect"/>
              </v:shapetype>
              <v:shape id="Text Box 2" o:spid="_x0000_s1026" type="#_x0000_t202" style="width:298.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">
                <v:textbox style="mso-fit-shape-to-text:t">
                  <w:txbxContent>
                    <w:p w14:paraId="297B535F" w14:textId="77777777" w:rsidR="00B21DCF" w:rsidRPr="00DE4D60" w:rsidRDefault="00DE4D60" w:rsidP="00DE4D60">
                      <w:pPr>
                        <w:shd w:val="clear" w:color="auto" w:fill="2F5496" w:themeFill="accent5" w:themeFillShade="BF"/>
                        <w:rPr>
                          <w:color w:val="FFFFFF" w:themeColor="background1"/>
                        </w:rPr>
                      </w:pPr>
                      <w:r w:rsidRPr="004D33A4">
                        <w:rPr>
                          <w:rFonts w:ascii="Verdana" w:hAnsi="Verdana"/>
                          <w:color w:val="FFFFFF" w:themeColor="background1"/>
                          <w:sz w:val="18"/>
                          <w:szCs w:val="18"/>
                          <w:highlight w:val="red"/>
                        </w:rPr>
                        <w:t>The role of National Contact Points (NCPs) is to further the effectiveness of the OECD Guidelines.</w:t>
                      </w:r>
                      <w:r w:rsidRPr="00E8754E">
                        <w:rPr>
                          <w:rFonts w:ascii="Verdana" w:hAnsi="Verdana"/>
                          <w:color w:val="FFFFFF" w:themeColor="background1"/>
                          <w:sz w:val="18"/>
                          <w:szCs w:val="18"/>
                        </w:rPr>
                        <w:t xml:space="preserve"> The Dutch government has chosen to establish an independent NCP, which is responsible for its own procedures and decisions, in accordance with the Procedural Guidance section of the Guidelines. In line with this, the Dutch NCP consists of four independent members, supported by four advisory government officials from the most relevant ministries. The NCP Secretariat is hosted by the Ministry of Foreign Affairs. The Minister for Foreign Trade and Development Cooperation is politically responsible for the functioning of the Dutch NCP. More information on the OECD Guidelines and the NCP can be found on the </w:t>
                      </w:r>
                      <w:hyperlink r:id="rId13" w:history="1">
                        <w:r w:rsidRPr="00E8754E">
                          <w:rPr>
                            <w:rStyle w:val="Hyperlink"/>
                            <w:rFonts w:ascii="Verdana" w:hAnsi="Verdana"/>
                            <w:color w:val="FFFFFF" w:themeColor="background1"/>
                            <w:sz w:val="18"/>
                            <w:szCs w:val="18"/>
                          </w:rPr>
                          <w:t>NCP Website</w:t>
                        </w:r>
                      </w:hyperlink>
                    </w:p>
                  </w:txbxContent>
                </v:textbox>
                <w10:anchorlock/>
              </v:shape>
            </w:pict>
          </mc:Fallback>
        </mc:AlternateContent>
      </w:r>
    </w:p>
    <w:p w14:paraId="7B3A1C61" w14:textId="77777777" w:rsidR="00B21DCF" w:rsidRDefault="00B21DCF" w:rsidP="004D68BA">
      <w:pPr>
        <w:spacing w:before="240" w:after="0"/>
        <w:contextualSpacing/>
        <w:rPr>
          <w:rFonts w:cstheme="minorHAnsi"/>
        </w:rPr>
      </w:pPr>
    </w:p>
    <w:p w14:paraId="7F5FB044" w14:textId="77777777" w:rsidR="00DE4D60" w:rsidRPr="00FD4A30" w:rsidRDefault="00DE4D60" w:rsidP="004D68BA">
      <w:pPr>
        <w:spacing w:before="240" w:after="0"/>
        <w:contextualSpacing/>
        <w:rPr>
          <w:rFonts w:cstheme="minorHAnsi"/>
        </w:rPr>
      </w:pPr>
    </w:p>
    <w:p w14:paraId="14FA2ACD" w14:textId="5F5D7D28" w:rsidR="00B21DCF" w:rsidRPr="00FD4A30" w:rsidRDefault="00B21DCF" w:rsidP="004D68BA">
      <w:pPr>
        <w:spacing w:before="240" w:after="0"/>
        <w:contextualSpacing/>
        <w:rPr>
          <w:rFonts w:cstheme="minorHAnsi"/>
        </w:rPr>
      </w:pPr>
      <w:r w:rsidRPr="00FD4A30">
        <w:rPr>
          <w:rFonts w:cstheme="minorHAnsi"/>
          <w:noProof/>
          <w:lang w:val="nl-NL" w:eastAsia="nl-NL"/>
        </w:rPr>
        <mc:AlternateContent>
          <mc:Choice Requires="wps">
            <w:drawing>
              <wp:inline distT="0" distB="0" distL="0" distR="0" wp14:anchorId="472D590C" wp14:editId="080032E6">
                <wp:extent cx="3790950" cy="1662112"/>
                <wp:effectExtent l="0" t="0" r="19050" b="1460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1662112"/>
                        </a:xfrm>
                        <a:prstGeom prst="rect">
                          <a:avLst/>
                        </a:prstGeom>
                        <a:solidFill>
                          <a:srgbClr val="FFFFFF"/>
                        </a:solidFill>
                        <a:ln w="9525">
                          <a:solidFill>
                            <a:srgbClr val="000000"/>
                          </a:solidFill>
                          <a:miter lim="800000"/>
                          <a:headEnd/>
                          <a:tailEnd/>
                        </a:ln>
                      </wps:spPr>
                      <wps:txbx>
                        <w:txbxContent>
                          <w:p w14:paraId="499CE4C9" w14:textId="77777777" w:rsidR="00B21DCF" w:rsidRPr="00DE4D60" w:rsidRDefault="00B21DCF" w:rsidP="00B21DCF">
                            <w:pPr>
                              <w:spacing w:before="240" w:after="0"/>
                              <w:contextualSpacing/>
                              <w:rPr>
                                <w:rFonts w:ascii="Verdana" w:hAnsi="Verdana"/>
                                <w:color w:val="0070C0"/>
                                <w:sz w:val="18"/>
                                <w:szCs w:val="18"/>
                              </w:rPr>
                            </w:pPr>
                            <w:r w:rsidRPr="00DE4D60">
                              <w:rPr>
                                <w:rFonts w:ascii="Verdana" w:hAnsi="Verdana"/>
                                <w:color w:val="0070C0"/>
                                <w:sz w:val="18"/>
                                <w:szCs w:val="18"/>
                              </w:rPr>
                              <w:t>Published by:</w:t>
                            </w:r>
                          </w:p>
                          <w:p w14:paraId="2301E104" w14:textId="71EAF599" w:rsidR="00B21DCF" w:rsidRDefault="00B21DCF" w:rsidP="00B21DCF">
                            <w:pPr>
                              <w:spacing w:before="240" w:after="0"/>
                              <w:contextualSpacing/>
                              <w:rPr>
                                <w:rFonts w:ascii="Verdana" w:hAnsi="Verdana"/>
                                <w:sz w:val="18"/>
                                <w:szCs w:val="18"/>
                              </w:rPr>
                            </w:pPr>
                            <w:r w:rsidRPr="004D68BA">
                              <w:rPr>
                                <w:rFonts w:ascii="Verdana" w:hAnsi="Verdana"/>
                                <w:sz w:val="18"/>
                                <w:szCs w:val="18"/>
                              </w:rPr>
                              <w:t xml:space="preserve">National Contact Point OECD Guidelines </w:t>
                            </w:r>
                          </w:p>
                          <w:p w14:paraId="1A2222CF" w14:textId="77777777" w:rsidR="00B21DCF" w:rsidRDefault="00B21DCF" w:rsidP="00B21DCF">
                            <w:pPr>
                              <w:spacing w:before="240" w:after="0"/>
                              <w:contextualSpacing/>
                              <w:rPr>
                                <w:rFonts w:ascii="Verdana" w:hAnsi="Verdana"/>
                                <w:sz w:val="18"/>
                                <w:szCs w:val="18"/>
                              </w:rPr>
                            </w:pPr>
                            <w:r w:rsidRPr="004D68BA">
                              <w:rPr>
                                <w:rFonts w:ascii="Verdana" w:hAnsi="Verdana"/>
                                <w:sz w:val="18"/>
                                <w:szCs w:val="18"/>
                              </w:rPr>
                              <w:t>For</w:t>
                            </w:r>
                            <w:r>
                              <w:rPr>
                                <w:rFonts w:ascii="Verdana" w:hAnsi="Verdana"/>
                                <w:sz w:val="18"/>
                                <w:szCs w:val="18"/>
                              </w:rPr>
                              <w:t xml:space="preserve"> </w:t>
                            </w:r>
                            <w:r w:rsidRPr="004D68BA">
                              <w:rPr>
                                <w:rFonts w:ascii="Verdana" w:hAnsi="Verdana"/>
                                <w:sz w:val="18"/>
                                <w:szCs w:val="18"/>
                              </w:rPr>
                              <w:t>Multinational Enterprises</w:t>
                            </w:r>
                          </w:p>
                          <w:p w14:paraId="2A9E1633" w14:textId="77777777" w:rsidR="00B21DCF" w:rsidRDefault="00B21DCF" w:rsidP="00B21DCF">
                            <w:pPr>
                              <w:spacing w:before="240" w:after="0"/>
                              <w:contextualSpacing/>
                              <w:rPr>
                                <w:rFonts w:ascii="Verdana" w:hAnsi="Verdana"/>
                                <w:sz w:val="18"/>
                                <w:szCs w:val="18"/>
                              </w:rPr>
                            </w:pPr>
                          </w:p>
                          <w:p w14:paraId="0DC66272" w14:textId="77777777" w:rsidR="00B21DCF" w:rsidRDefault="00B21DCF" w:rsidP="00B21DCF">
                            <w:pPr>
                              <w:spacing w:before="240" w:after="0"/>
                              <w:contextualSpacing/>
                              <w:rPr>
                                <w:rFonts w:ascii="Verdana" w:hAnsi="Verdana"/>
                                <w:sz w:val="18"/>
                                <w:szCs w:val="18"/>
                              </w:rPr>
                            </w:pPr>
                            <w:r>
                              <w:rPr>
                                <w:rFonts w:ascii="Verdana" w:hAnsi="Verdana"/>
                                <w:sz w:val="18"/>
                                <w:szCs w:val="18"/>
                              </w:rPr>
                              <w:t>© Ministry of Foreign Affairs</w:t>
                            </w:r>
                          </w:p>
                          <w:p w14:paraId="0EBB6092" w14:textId="77777777" w:rsidR="00B21DCF" w:rsidRDefault="00B21DCF" w:rsidP="00B21DCF">
                            <w:pPr>
                              <w:spacing w:before="240" w:after="0"/>
                              <w:contextualSpacing/>
                              <w:rPr>
                                <w:rFonts w:ascii="Verdana" w:hAnsi="Verdana"/>
                                <w:sz w:val="18"/>
                                <w:szCs w:val="18"/>
                              </w:rPr>
                            </w:pPr>
                            <w:r>
                              <w:rPr>
                                <w:rFonts w:ascii="Verdana" w:hAnsi="Verdana"/>
                                <w:sz w:val="18"/>
                                <w:szCs w:val="18"/>
                              </w:rPr>
                              <w:t>P.O. Box 20061</w:t>
                            </w:r>
                          </w:p>
                          <w:p w14:paraId="45747A82" w14:textId="77777777" w:rsidR="00B21DCF" w:rsidRDefault="00B21DCF" w:rsidP="00B21DCF">
                            <w:pPr>
                              <w:spacing w:before="240" w:after="0"/>
                              <w:contextualSpacing/>
                              <w:rPr>
                                <w:rFonts w:ascii="Verdana" w:hAnsi="Verdana"/>
                                <w:sz w:val="18"/>
                                <w:szCs w:val="18"/>
                              </w:rPr>
                            </w:pPr>
                            <w:r>
                              <w:rPr>
                                <w:rFonts w:ascii="Verdana" w:hAnsi="Verdana"/>
                                <w:sz w:val="18"/>
                                <w:szCs w:val="18"/>
                              </w:rPr>
                              <w:t>2500 EB The Hague</w:t>
                            </w:r>
                          </w:p>
                          <w:p w14:paraId="208CB348" w14:textId="77777777" w:rsidR="00B21DCF" w:rsidRDefault="00B21DCF" w:rsidP="00B21DCF">
                            <w:pPr>
                              <w:spacing w:before="240" w:after="0"/>
                              <w:contextualSpacing/>
                              <w:rPr>
                                <w:rFonts w:ascii="Verdana" w:hAnsi="Verdana"/>
                                <w:sz w:val="18"/>
                                <w:szCs w:val="18"/>
                              </w:rPr>
                            </w:pPr>
                            <w:r>
                              <w:rPr>
                                <w:rFonts w:ascii="Verdana" w:hAnsi="Verdana"/>
                                <w:sz w:val="18"/>
                                <w:szCs w:val="18"/>
                              </w:rPr>
                              <w:t>The Netherlands</w:t>
                            </w:r>
                          </w:p>
                          <w:p w14:paraId="50C693C4" w14:textId="77777777" w:rsidR="00B21DCF" w:rsidRDefault="00944B2E" w:rsidP="00B21DCF">
                            <w:pPr>
                              <w:spacing w:before="240" w:after="0"/>
                              <w:contextualSpacing/>
                            </w:pPr>
                            <w:hyperlink r:id="rId14" w:history="1">
                              <w:r w:rsidR="00B21DCF" w:rsidRPr="004D68BA">
                                <w:rPr>
                                  <w:rStyle w:val="Hyperlink"/>
                                  <w:rFonts w:ascii="Verdana" w:hAnsi="Verdana"/>
                                  <w:sz w:val="18"/>
                                  <w:szCs w:val="18"/>
                                </w:rPr>
                                <w:t>NCP Website</w:t>
                              </w:r>
                            </w:hyperlink>
                            <w:r w:rsidR="00B21DCF">
                              <w:rPr>
                                <w:rFonts w:ascii="Verdana" w:hAnsi="Verdana"/>
                                <w:sz w:val="18"/>
                                <w:szCs w:val="18"/>
                              </w:rPr>
                              <w:t xml:space="preserve"> </w:t>
                            </w:r>
                          </w:p>
                        </w:txbxContent>
                      </wps:txbx>
                      <wps:bodyPr rot="0" vert="horz" wrap="square" lIns="91440" tIns="45720" rIns="91440" bIns="45720" anchor="t" anchorCtr="0">
                        <a:noAutofit/>
                      </wps:bodyPr>
                    </wps:wsp>
                  </a:graphicData>
                </a:graphic>
              </wp:inline>
            </w:drawing>
          </mc:Choice>
          <mc:Fallback>
            <w:pict>
              <v:shape w14:anchorId="472D590C" id="_x0000_s1027" type="#_x0000_t202" style="width:298.5pt;height:130.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">
                <v:textbox>
                  <w:txbxContent>
                    <w:p w14:paraId="499CE4C9" w14:textId="77777777" w:rsidR="00B21DCF" w:rsidRPr="00DE4D60" w:rsidRDefault="00B21DCF" w:rsidP="00B21DCF">
                      <w:pPr>
                        <w:spacing w:before="240" w:after="0"/>
                        <w:contextualSpacing/>
                        <w:rPr>
                          <w:rFonts w:ascii="Verdana" w:hAnsi="Verdana"/>
                          <w:color w:val="0070C0"/>
                          <w:sz w:val="18"/>
                          <w:szCs w:val="18"/>
                        </w:rPr>
                      </w:pPr>
                      <w:r w:rsidRPr="00DE4D60">
                        <w:rPr>
                          <w:rFonts w:ascii="Verdana" w:hAnsi="Verdana"/>
                          <w:color w:val="0070C0"/>
                          <w:sz w:val="18"/>
                          <w:szCs w:val="18"/>
                        </w:rPr>
                        <w:t>Published by:</w:t>
                      </w:r>
                    </w:p>
                    <w:p w14:paraId="2301E104" w14:textId="71EAF599" w:rsidR="00B21DCF" w:rsidRDefault="00B21DCF" w:rsidP="00B21DCF">
                      <w:pPr>
                        <w:spacing w:before="240" w:after="0"/>
                        <w:contextualSpacing/>
                        <w:rPr>
                          <w:rFonts w:ascii="Verdana" w:hAnsi="Verdana"/>
                          <w:sz w:val="18"/>
                          <w:szCs w:val="18"/>
                        </w:rPr>
                      </w:pPr>
                      <w:r w:rsidRPr="004D68BA">
                        <w:rPr>
                          <w:rFonts w:ascii="Verdana" w:hAnsi="Verdana"/>
                          <w:sz w:val="18"/>
                          <w:szCs w:val="18"/>
                        </w:rPr>
                        <w:t xml:space="preserve">National Contact Point OECD Guidelines </w:t>
                      </w:r>
                    </w:p>
                    <w:p w14:paraId="1A2222CF" w14:textId="77777777" w:rsidR="00B21DCF" w:rsidRDefault="00B21DCF" w:rsidP="00B21DCF">
                      <w:pPr>
                        <w:spacing w:before="240" w:after="0"/>
                        <w:contextualSpacing/>
                        <w:rPr>
                          <w:rFonts w:ascii="Verdana" w:hAnsi="Verdana"/>
                          <w:sz w:val="18"/>
                          <w:szCs w:val="18"/>
                        </w:rPr>
                      </w:pPr>
                      <w:r w:rsidRPr="004D68BA">
                        <w:rPr>
                          <w:rFonts w:ascii="Verdana" w:hAnsi="Verdana"/>
                          <w:sz w:val="18"/>
                          <w:szCs w:val="18"/>
                        </w:rPr>
                        <w:t>For</w:t>
                      </w:r>
                      <w:r>
                        <w:rPr>
                          <w:rFonts w:ascii="Verdana" w:hAnsi="Verdana"/>
                          <w:sz w:val="18"/>
                          <w:szCs w:val="18"/>
                        </w:rPr>
                        <w:t xml:space="preserve"> </w:t>
                      </w:r>
                      <w:r w:rsidRPr="004D68BA">
                        <w:rPr>
                          <w:rFonts w:ascii="Verdana" w:hAnsi="Verdana"/>
                          <w:sz w:val="18"/>
                          <w:szCs w:val="18"/>
                        </w:rPr>
                        <w:t>Multinational Enterprises</w:t>
                      </w:r>
                    </w:p>
                    <w:p w14:paraId="2A9E1633" w14:textId="77777777" w:rsidR="00B21DCF" w:rsidRDefault="00B21DCF" w:rsidP="00B21DCF">
                      <w:pPr>
                        <w:spacing w:before="240" w:after="0"/>
                        <w:contextualSpacing/>
                        <w:rPr>
                          <w:rFonts w:ascii="Verdana" w:hAnsi="Verdana"/>
                          <w:sz w:val="18"/>
                          <w:szCs w:val="18"/>
                        </w:rPr>
                      </w:pPr>
                    </w:p>
                    <w:p w14:paraId="0DC66272" w14:textId="77777777" w:rsidR="00B21DCF" w:rsidRDefault="00B21DCF" w:rsidP="00B21DCF">
                      <w:pPr>
                        <w:spacing w:before="240" w:after="0"/>
                        <w:contextualSpacing/>
                        <w:rPr>
                          <w:rFonts w:ascii="Verdana" w:hAnsi="Verdana"/>
                          <w:sz w:val="18"/>
                          <w:szCs w:val="18"/>
                        </w:rPr>
                      </w:pPr>
                      <w:r>
                        <w:rPr>
                          <w:rFonts w:ascii="Verdana" w:hAnsi="Verdana"/>
                          <w:sz w:val="18"/>
                          <w:szCs w:val="18"/>
                        </w:rPr>
                        <w:t>© Ministry of Foreign Affairs</w:t>
                      </w:r>
                    </w:p>
                    <w:p w14:paraId="0EBB6092" w14:textId="77777777" w:rsidR="00B21DCF" w:rsidRDefault="00B21DCF" w:rsidP="00B21DCF">
                      <w:pPr>
                        <w:spacing w:before="240" w:after="0"/>
                        <w:contextualSpacing/>
                        <w:rPr>
                          <w:rFonts w:ascii="Verdana" w:hAnsi="Verdana"/>
                          <w:sz w:val="18"/>
                          <w:szCs w:val="18"/>
                        </w:rPr>
                      </w:pPr>
                      <w:r>
                        <w:rPr>
                          <w:rFonts w:ascii="Verdana" w:hAnsi="Verdana"/>
                          <w:sz w:val="18"/>
                          <w:szCs w:val="18"/>
                        </w:rPr>
                        <w:t>P.O. Box 20061</w:t>
                      </w:r>
                    </w:p>
                    <w:p w14:paraId="45747A82" w14:textId="77777777" w:rsidR="00B21DCF" w:rsidRDefault="00B21DCF" w:rsidP="00B21DCF">
                      <w:pPr>
                        <w:spacing w:before="240" w:after="0"/>
                        <w:contextualSpacing/>
                        <w:rPr>
                          <w:rFonts w:ascii="Verdana" w:hAnsi="Verdana"/>
                          <w:sz w:val="18"/>
                          <w:szCs w:val="18"/>
                        </w:rPr>
                      </w:pPr>
                      <w:r>
                        <w:rPr>
                          <w:rFonts w:ascii="Verdana" w:hAnsi="Verdana"/>
                          <w:sz w:val="18"/>
                          <w:szCs w:val="18"/>
                        </w:rPr>
                        <w:t>2500 EB The Hague</w:t>
                      </w:r>
                    </w:p>
                    <w:p w14:paraId="208CB348" w14:textId="77777777" w:rsidR="00B21DCF" w:rsidRDefault="00B21DCF" w:rsidP="00B21DCF">
                      <w:pPr>
                        <w:spacing w:before="240" w:after="0"/>
                        <w:contextualSpacing/>
                        <w:rPr>
                          <w:rFonts w:ascii="Verdana" w:hAnsi="Verdana"/>
                          <w:sz w:val="18"/>
                          <w:szCs w:val="18"/>
                        </w:rPr>
                      </w:pPr>
                      <w:r>
                        <w:rPr>
                          <w:rFonts w:ascii="Verdana" w:hAnsi="Verdana"/>
                          <w:sz w:val="18"/>
                          <w:szCs w:val="18"/>
                        </w:rPr>
                        <w:t>The Netherlands</w:t>
                      </w:r>
                    </w:p>
                    <w:p w14:paraId="50C693C4" w14:textId="77777777" w:rsidR="00B21DCF" w:rsidRDefault="00504598" w:rsidP="00B21DCF">
                      <w:pPr>
                        <w:spacing w:before="240" w:after="0"/>
                        <w:contextualSpacing/>
                      </w:pPr>
                      <w:hyperlink r:id="rId15" w:history="1">
                        <w:r w:rsidR="00B21DCF" w:rsidRPr="004D68BA">
                          <w:rPr>
                            <w:rStyle w:val="Hyperlink"/>
                            <w:rFonts w:ascii="Verdana" w:hAnsi="Verdana"/>
                            <w:sz w:val="18"/>
                            <w:szCs w:val="18"/>
                          </w:rPr>
                          <w:t>NCP Website</w:t>
                        </w:r>
                      </w:hyperlink>
                      <w:r w:rsidR="00B21DCF">
                        <w:rPr>
                          <w:rFonts w:ascii="Verdana" w:hAnsi="Verdana"/>
                          <w:sz w:val="18"/>
                          <w:szCs w:val="18"/>
                        </w:rPr>
                        <w:t xml:space="preserve"> </w:t>
                      </w:r>
                    </w:p>
                  </w:txbxContent>
                </v:textbox>
                <w10:anchorlock/>
              </v:shape>
            </w:pict>
          </mc:Fallback>
        </mc:AlternateContent>
      </w:r>
    </w:p>
    <w:sectPr w:rsidR="00B21DCF" w:rsidRPr="00FD4A30" w:rsidSect="00735109">
      <w:headerReference w:type="default" r:id="rId16"/>
      <w:footerReference w:type="default" r:id="rId17"/>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26606" w14:textId="77777777" w:rsidR="00944B2E" w:rsidRDefault="00944B2E" w:rsidP="001B728A">
      <w:pPr>
        <w:spacing w:after="0" w:line="240" w:lineRule="auto"/>
      </w:pPr>
      <w:r>
        <w:separator/>
      </w:r>
    </w:p>
  </w:endnote>
  <w:endnote w:type="continuationSeparator" w:id="0">
    <w:p w14:paraId="0A9FFFCE" w14:textId="77777777" w:rsidR="00944B2E" w:rsidRDefault="00944B2E" w:rsidP="001B728A">
      <w:pPr>
        <w:spacing w:after="0" w:line="240" w:lineRule="auto"/>
      </w:pPr>
      <w:r>
        <w:continuationSeparator/>
      </w:r>
    </w:p>
  </w:endnote>
  <w:endnote w:type="continuationNotice" w:id="1">
    <w:p w14:paraId="2A894394" w14:textId="77777777" w:rsidR="00944B2E" w:rsidRDefault="00944B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RijksoverheidSansText">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Noto IKEA Latin">
    <w:altName w:val="Bahnschrift Light"/>
    <w:charset w:val="EE"/>
    <w:family w:val="swiss"/>
    <w:pitch w:val="variable"/>
    <w:sig w:usb0="A00002FF" w:usb1="0000201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1207792"/>
      <w:docPartObj>
        <w:docPartGallery w:val="Page Numbers (Bottom of Page)"/>
        <w:docPartUnique/>
      </w:docPartObj>
    </w:sdtPr>
    <w:sdtEndPr/>
    <w:sdtContent>
      <w:p w14:paraId="4DC1B325" w14:textId="56744865" w:rsidR="007C5E8F" w:rsidRDefault="007C5E8F">
        <w:pPr>
          <w:pStyle w:val="Footer"/>
          <w:jc w:val="right"/>
        </w:pPr>
        <w:r>
          <w:fldChar w:fldCharType="begin"/>
        </w:r>
        <w:r>
          <w:instrText>PAGE   \* MERGEFORMAT</w:instrText>
        </w:r>
        <w:r>
          <w:fldChar w:fldCharType="separate"/>
        </w:r>
        <w:r w:rsidR="00504598" w:rsidRPr="00504598">
          <w:rPr>
            <w:noProof/>
            <w:lang w:val="nl-NL"/>
          </w:rPr>
          <w:t>8</w:t>
        </w:r>
        <w:r>
          <w:fldChar w:fldCharType="end"/>
        </w:r>
      </w:p>
    </w:sdtContent>
  </w:sdt>
  <w:p w14:paraId="1CF025FD" w14:textId="77777777" w:rsidR="007C5E8F" w:rsidRDefault="007C5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B6CD5" w14:textId="77777777" w:rsidR="00944B2E" w:rsidRDefault="00944B2E" w:rsidP="001B728A">
      <w:pPr>
        <w:spacing w:after="0" w:line="240" w:lineRule="auto"/>
      </w:pPr>
      <w:r>
        <w:separator/>
      </w:r>
    </w:p>
  </w:footnote>
  <w:footnote w:type="continuationSeparator" w:id="0">
    <w:p w14:paraId="622A3197" w14:textId="77777777" w:rsidR="00944B2E" w:rsidRDefault="00944B2E" w:rsidP="001B728A">
      <w:pPr>
        <w:spacing w:after="0" w:line="240" w:lineRule="auto"/>
      </w:pPr>
      <w:r>
        <w:continuationSeparator/>
      </w:r>
    </w:p>
  </w:footnote>
  <w:footnote w:type="continuationNotice" w:id="1">
    <w:p w14:paraId="081A53CC" w14:textId="77777777" w:rsidR="00944B2E" w:rsidRDefault="00944B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414B6" w14:textId="1645E478" w:rsidR="007C5E8F" w:rsidRDefault="007C5E8F">
    <w:pPr>
      <w:pStyle w:val="Header"/>
      <w:jc w:val="right"/>
    </w:pPr>
  </w:p>
  <w:p w14:paraId="48A48D40" w14:textId="77777777" w:rsidR="007C5E8F" w:rsidRDefault="007C5E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1521B"/>
    <w:multiLevelType w:val="hybridMultilevel"/>
    <w:tmpl w:val="7CC29BB4"/>
    <w:lvl w:ilvl="0" w:tplc="F27AB862">
      <w:start w:val="1"/>
      <w:numFmt w:val="decimal"/>
      <w:pStyle w:val="Para"/>
      <w:lvlText w:val="%1."/>
      <w:lvlJc w:val="left"/>
      <w:pPr>
        <w:tabs>
          <w:tab w:val="num" w:pos="720"/>
        </w:tabs>
        <w:ind w:left="0" w:firstLine="0"/>
      </w:pPr>
      <w:rPr>
        <w:b w:val="0"/>
        <w:i w:val="0"/>
        <w:strike w:val="0"/>
        <w:dstrike w:val="0"/>
        <w:color w:val="auto"/>
        <w:u w:val="none"/>
        <w:effect w:val="none"/>
      </w:rPr>
    </w:lvl>
    <w:lvl w:ilvl="1" w:tplc="08090019">
      <w:start w:val="1"/>
      <w:numFmt w:val="lowerLetter"/>
      <w:lvlText w:val="%2."/>
      <w:lvlJc w:val="left"/>
      <w:pPr>
        <w:ind w:left="2120" w:hanging="360"/>
      </w:pPr>
    </w:lvl>
    <w:lvl w:ilvl="2" w:tplc="0809001B">
      <w:start w:val="1"/>
      <w:numFmt w:val="lowerRoman"/>
      <w:lvlText w:val="%3."/>
      <w:lvlJc w:val="right"/>
      <w:pPr>
        <w:ind w:left="2840" w:hanging="180"/>
      </w:pPr>
    </w:lvl>
    <w:lvl w:ilvl="3" w:tplc="0809000F">
      <w:start w:val="1"/>
      <w:numFmt w:val="decimal"/>
      <w:lvlText w:val="%4."/>
      <w:lvlJc w:val="left"/>
      <w:pPr>
        <w:ind w:left="3560" w:hanging="360"/>
      </w:pPr>
    </w:lvl>
    <w:lvl w:ilvl="4" w:tplc="08090019">
      <w:start w:val="1"/>
      <w:numFmt w:val="lowerLetter"/>
      <w:lvlText w:val="%5."/>
      <w:lvlJc w:val="left"/>
      <w:pPr>
        <w:ind w:left="4280" w:hanging="360"/>
      </w:pPr>
    </w:lvl>
    <w:lvl w:ilvl="5" w:tplc="0809001B">
      <w:start w:val="1"/>
      <w:numFmt w:val="lowerRoman"/>
      <w:lvlText w:val="%6."/>
      <w:lvlJc w:val="right"/>
      <w:pPr>
        <w:ind w:left="5000" w:hanging="180"/>
      </w:pPr>
    </w:lvl>
    <w:lvl w:ilvl="6" w:tplc="0809000F">
      <w:start w:val="1"/>
      <w:numFmt w:val="decimal"/>
      <w:lvlText w:val="%7."/>
      <w:lvlJc w:val="left"/>
      <w:pPr>
        <w:ind w:left="5720" w:hanging="360"/>
      </w:pPr>
    </w:lvl>
    <w:lvl w:ilvl="7" w:tplc="08090019">
      <w:start w:val="1"/>
      <w:numFmt w:val="lowerLetter"/>
      <w:lvlText w:val="%8."/>
      <w:lvlJc w:val="left"/>
      <w:pPr>
        <w:ind w:left="6440" w:hanging="360"/>
      </w:pPr>
    </w:lvl>
    <w:lvl w:ilvl="8" w:tplc="0809001B">
      <w:start w:val="1"/>
      <w:numFmt w:val="lowerRoman"/>
      <w:lvlText w:val="%9."/>
      <w:lvlJc w:val="right"/>
      <w:pPr>
        <w:ind w:left="7160" w:hanging="180"/>
      </w:pPr>
    </w:lvl>
  </w:abstractNum>
  <w:abstractNum w:abstractNumId="1" w15:restartNumberingAfterBreak="0">
    <w:nsid w:val="4366577A"/>
    <w:multiLevelType w:val="hybridMultilevel"/>
    <w:tmpl w:val="9342F61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5DFA1D2F"/>
    <w:multiLevelType w:val="multilevel"/>
    <w:tmpl w:val="7AF8FCA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731B34D2"/>
    <w:multiLevelType w:val="multilevel"/>
    <w:tmpl w:val="2326EB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num w:numId="1">
    <w:abstractNumId w:val="3"/>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5A0"/>
    <w:rsid w:val="00007E1D"/>
    <w:rsid w:val="00021A33"/>
    <w:rsid w:val="000331F9"/>
    <w:rsid w:val="00033ECC"/>
    <w:rsid w:val="000345BC"/>
    <w:rsid w:val="00043CB5"/>
    <w:rsid w:val="00061FB6"/>
    <w:rsid w:val="00063E9A"/>
    <w:rsid w:val="00090CE7"/>
    <w:rsid w:val="000A428A"/>
    <w:rsid w:val="000A7A8D"/>
    <w:rsid w:val="000B548B"/>
    <w:rsid w:val="000B7BDB"/>
    <w:rsid w:val="000C3E3E"/>
    <w:rsid w:val="000C4441"/>
    <w:rsid w:val="000D7509"/>
    <w:rsid w:val="0011613B"/>
    <w:rsid w:val="00117A04"/>
    <w:rsid w:val="001301CD"/>
    <w:rsid w:val="001346F8"/>
    <w:rsid w:val="00135826"/>
    <w:rsid w:val="00164ABD"/>
    <w:rsid w:val="001A3187"/>
    <w:rsid w:val="001B1BBD"/>
    <w:rsid w:val="001B68C0"/>
    <w:rsid w:val="001B728A"/>
    <w:rsid w:val="001D5087"/>
    <w:rsid w:val="001D774B"/>
    <w:rsid w:val="001E125E"/>
    <w:rsid w:val="001E5C88"/>
    <w:rsid w:val="001F1752"/>
    <w:rsid w:val="001F2594"/>
    <w:rsid w:val="001F3610"/>
    <w:rsid w:val="001F4A3F"/>
    <w:rsid w:val="001F58B0"/>
    <w:rsid w:val="00206935"/>
    <w:rsid w:val="002279F2"/>
    <w:rsid w:val="00227B55"/>
    <w:rsid w:val="002458F3"/>
    <w:rsid w:val="00245D78"/>
    <w:rsid w:val="002515E0"/>
    <w:rsid w:val="00255D5F"/>
    <w:rsid w:val="002614FE"/>
    <w:rsid w:val="00262A14"/>
    <w:rsid w:val="002709C0"/>
    <w:rsid w:val="002865E7"/>
    <w:rsid w:val="00286605"/>
    <w:rsid w:val="002901B7"/>
    <w:rsid w:val="002924AC"/>
    <w:rsid w:val="00293B3B"/>
    <w:rsid w:val="002A21F2"/>
    <w:rsid w:val="002B1B28"/>
    <w:rsid w:val="002B2C88"/>
    <w:rsid w:val="002B334C"/>
    <w:rsid w:val="002B4467"/>
    <w:rsid w:val="002B55A0"/>
    <w:rsid w:val="002C006B"/>
    <w:rsid w:val="002C1D07"/>
    <w:rsid w:val="002D2021"/>
    <w:rsid w:val="002E04FC"/>
    <w:rsid w:val="002F180D"/>
    <w:rsid w:val="002F67DE"/>
    <w:rsid w:val="00305354"/>
    <w:rsid w:val="0031540F"/>
    <w:rsid w:val="003266AD"/>
    <w:rsid w:val="00344B71"/>
    <w:rsid w:val="0035067F"/>
    <w:rsid w:val="003507D2"/>
    <w:rsid w:val="00361BFC"/>
    <w:rsid w:val="00363FE4"/>
    <w:rsid w:val="00364FE8"/>
    <w:rsid w:val="00365BF6"/>
    <w:rsid w:val="003725E2"/>
    <w:rsid w:val="003753C8"/>
    <w:rsid w:val="00376937"/>
    <w:rsid w:val="00381CB8"/>
    <w:rsid w:val="00382C4C"/>
    <w:rsid w:val="00386F10"/>
    <w:rsid w:val="00392F7D"/>
    <w:rsid w:val="00393F31"/>
    <w:rsid w:val="00394CA7"/>
    <w:rsid w:val="00394D72"/>
    <w:rsid w:val="003B2468"/>
    <w:rsid w:val="003B3BC6"/>
    <w:rsid w:val="003B4EBA"/>
    <w:rsid w:val="003B5A2C"/>
    <w:rsid w:val="003C1A36"/>
    <w:rsid w:val="003C50DE"/>
    <w:rsid w:val="003C757C"/>
    <w:rsid w:val="003D1FA1"/>
    <w:rsid w:val="003D3579"/>
    <w:rsid w:val="003D5F5B"/>
    <w:rsid w:val="003E53C6"/>
    <w:rsid w:val="003F2C87"/>
    <w:rsid w:val="00402085"/>
    <w:rsid w:val="0040733D"/>
    <w:rsid w:val="00413724"/>
    <w:rsid w:val="004170D9"/>
    <w:rsid w:val="00423B15"/>
    <w:rsid w:val="00426CEB"/>
    <w:rsid w:val="004275F8"/>
    <w:rsid w:val="00436DE9"/>
    <w:rsid w:val="0045067E"/>
    <w:rsid w:val="004514B4"/>
    <w:rsid w:val="00453BA3"/>
    <w:rsid w:val="00455649"/>
    <w:rsid w:val="0045603C"/>
    <w:rsid w:val="004570C1"/>
    <w:rsid w:val="0046675D"/>
    <w:rsid w:val="00467101"/>
    <w:rsid w:val="004749E4"/>
    <w:rsid w:val="004815DF"/>
    <w:rsid w:val="00484023"/>
    <w:rsid w:val="004D14F9"/>
    <w:rsid w:val="004D3149"/>
    <w:rsid w:val="004D33A4"/>
    <w:rsid w:val="004D68BA"/>
    <w:rsid w:val="004E382E"/>
    <w:rsid w:val="004F2DD7"/>
    <w:rsid w:val="0050425F"/>
    <w:rsid w:val="00504598"/>
    <w:rsid w:val="00511DFC"/>
    <w:rsid w:val="00526E78"/>
    <w:rsid w:val="00553E22"/>
    <w:rsid w:val="00555670"/>
    <w:rsid w:val="005564D9"/>
    <w:rsid w:val="00556E7C"/>
    <w:rsid w:val="0056699C"/>
    <w:rsid w:val="005773A8"/>
    <w:rsid w:val="00577866"/>
    <w:rsid w:val="00581327"/>
    <w:rsid w:val="00582E55"/>
    <w:rsid w:val="00591146"/>
    <w:rsid w:val="00591B7D"/>
    <w:rsid w:val="00594597"/>
    <w:rsid w:val="00596070"/>
    <w:rsid w:val="005A26DD"/>
    <w:rsid w:val="005B0DC9"/>
    <w:rsid w:val="005B50A1"/>
    <w:rsid w:val="005B7368"/>
    <w:rsid w:val="005C3D55"/>
    <w:rsid w:val="005E1CCF"/>
    <w:rsid w:val="005F1F42"/>
    <w:rsid w:val="005F684B"/>
    <w:rsid w:val="00603927"/>
    <w:rsid w:val="006064FB"/>
    <w:rsid w:val="00614E93"/>
    <w:rsid w:val="00617351"/>
    <w:rsid w:val="00634A0D"/>
    <w:rsid w:val="006371C2"/>
    <w:rsid w:val="00642051"/>
    <w:rsid w:val="006425E2"/>
    <w:rsid w:val="006437A6"/>
    <w:rsid w:val="00647318"/>
    <w:rsid w:val="00650DFE"/>
    <w:rsid w:val="00657252"/>
    <w:rsid w:val="00682276"/>
    <w:rsid w:val="0068433E"/>
    <w:rsid w:val="006849CB"/>
    <w:rsid w:val="006A1B90"/>
    <w:rsid w:val="006A34CB"/>
    <w:rsid w:val="006A7DDB"/>
    <w:rsid w:val="006B08B1"/>
    <w:rsid w:val="006B0B99"/>
    <w:rsid w:val="006B1E54"/>
    <w:rsid w:val="006C069B"/>
    <w:rsid w:val="006D0AD2"/>
    <w:rsid w:val="006E2342"/>
    <w:rsid w:val="006E29E1"/>
    <w:rsid w:val="006E5746"/>
    <w:rsid w:val="006E5861"/>
    <w:rsid w:val="006F1E40"/>
    <w:rsid w:val="006F258A"/>
    <w:rsid w:val="00701B46"/>
    <w:rsid w:val="00707AE3"/>
    <w:rsid w:val="0071189D"/>
    <w:rsid w:val="007172D3"/>
    <w:rsid w:val="00717CD2"/>
    <w:rsid w:val="0072178C"/>
    <w:rsid w:val="00735109"/>
    <w:rsid w:val="00743865"/>
    <w:rsid w:val="00757907"/>
    <w:rsid w:val="00762554"/>
    <w:rsid w:val="007814AD"/>
    <w:rsid w:val="00795EF5"/>
    <w:rsid w:val="0079717D"/>
    <w:rsid w:val="007A2ADC"/>
    <w:rsid w:val="007A5983"/>
    <w:rsid w:val="007B08DA"/>
    <w:rsid w:val="007B2DEE"/>
    <w:rsid w:val="007B4CBB"/>
    <w:rsid w:val="007C5E8F"/>
    <w:rsid w:val="007C76F9"/>
    <w:rsid w:val="007D0EC9"/>
    <w:rsid w:val="007D1445"/>
    <w:rsid w:val="007D28B0"/>
    <w:rsid w:val="007D5FE9"/>
    <w:rsid w:val="007E3284"/>
    <w:rsid w:val="007F4778"/>
    <w:rsid w:val="008057FC"/>
    <w:rsid w:val="0081046D"/>
    <w:rsid w:val="00811999"/>
    <w:rsid w:val="00821996"/>
    <w:rsid w:val="008350A9"/>
    <w:rsid w:val="00846556"/>
    <w:rsid w:val="00851C21"/>
    <w:rsid w:val="00856CB0"/>
    <w:rsid w:val="00856D23"/>
    <w:rsid w:val="008676DE"/>
    <w:rsid w:val="008740A8"/>
    <w:rsid w:val="00885B79"/>
    <w:rsid w:val="00895661"/>
    <w:rsid w:val="008969E5"/>
    <w:rsid w:val="008A4805"/>
    <w:rsid w:val="008B669D"/>
    <w:rsid w:val="008C0A92"/>
    <w:rsid w:val="008C48D7"/>
    <w:rsid w:val="008C4F2A"/>
    <w:rsid w:val="008D4F99"/>
    <w:rsid w:val="008F0D81"/>
    <w:rsid w:val="008F5E96"/>
    <w:rsid w:val="009050FA"/>
    <w:rsid w:val="00907C11"/>
    <w:rsid w:val="0091163A"/>
    <w:rsid w:val="00916FF8"/>
    <w:rsid w:val="0092347A"/>
    <w:rsid w:val="00940894"/>
    <w:rsid w:val="00944B2E"/>
    <w:rsid w:val="00945074"/>
    <w:rsid w:val="009470AD"/>
    <w:rsid w:val="00952DF5"/>
    <w:rsid w:val="00957AD3"/>
    <w:rsid w:val="00972C36"/>
    <w:rsid w:val="00996B6D"/>
    <w:rsid w:val="009A4D74"/>
    <w:rsid w:val="009B00E8"/>
    <w:rsid w:val="009B0B38"/>
    <w:rsid w:val="009B4341"/>
    <w:rsid w:val="009B44A9"/>
    <w:rsid w:val="009D0EEC"/>
    <w:rsid w:val="009E2771"/>
    <w:rsid w:val="009E3206"/>
    <w:rsid w:val="009F2810"/>
    <w:rsid w:val="009F3D40"/>
    <w:rsid w:val="009F4C09"/>
    <w:rsid w:val="00A077FD"/>
    <w:rsid w:val="00A14DBB"/>
    <w:rsid w:val="00A56DAE"/>
    <w:rsid w:val="00A60ABA"/>
    <w:rsid w:val="00A72F7C"/>
    <w:rsid w:val="00A73B69"/>
    <w:rsid w:val="00A7610A"/>
    <w:rsid w:val="00A82593"/>
    <w:rsid w:val="00A825DE"/>
    <w:rsid w:val="00A8406C"/>
    <w:rsid w:val="00A961BA"/>
    <w:rsid w:val="00A966AB"/>
    <w:rsid w:val="00A96A4B"/>
    <w:rsid w:val="00AA031C"/>
    <w:rsid w:val="00AA6C7C"/>
    <w:rsid w:val="00AB11BA"/>
    <w:rsid w:val="00AB538E"/>
    <w:rsid w:val="00AC1789"/>
    <w:rsid w:val="00AC2AD7"/>
    <w:rsid w:val="00AD513F"/>
    <w:rsid w:val="00AD6F00"/>
    <w:rsid w:val="00AF7AFD"/>
    <w:rsid w:val="00B02BAF"/>
    <w:rsid w:val="00B20D47"/>
    <w:rsid w:val="00B2114B"/>
    <w:rsid w:val="00B21DCF"/>
    <w:rsid w:val="00B234ED"/>
    <w:rsid w:val="00B24CFF"/>
    <w:rsid w:val="00B266B7"/>
    <w:rsid w:val="00B26DB7"/>
    <w:rsid w:val="00B30A08"/>
    <w:rsid w:val="00B323BE"/>
    <w:rsid w:val="00B32432"/>
    <w:rsid w:val="00B36869"/>
    <w:rsid w:val="00B44B00"/>
    <w:rsid w:val="00B474CE"/>
    <w:rsid w:val="00B87D73"/>
    <w:rsid w:val="00B902C5"/>
    <w:rsid w:val="00B91A8C"/>
    <w:rsid w:val="00B96105"/>
    <w:rsid w:val="00BB2449"/>
    <w:rsid w:val="00BB2B41"/>
    <w:rsid w:val="00BB7640"/>
    <w:rsid w:val="00BC2FAA"/>
    <w:rsid w:val="00BC4477"/>
    <w:rsid w:val="00BD722E"/>
    <w:rsid w:val="00BF0E25"/>
    <w:rsid w:val="00BF6ADF"/>
    <w:rsid w:val="00C00964"/>
    <w:rsid w:val="00C025DB"/>
    <w:rsid w:val="00C06298"/>
    <w:rsid w:val="00C11B7C"/>
    <w:rsid w:val="00C1640A"/>
    <w:rsid w:val="00C2166B"/>
    <w:rsid w:val="00C35E64"/>
    <w:rsid w:val="00C43A25"/>
    <w:rsid w:val="00C43F9C"/>
    <w:rsid w:val="00C44F63"/>
    <w:rsid w:val="00C4616D"/>
    <w:rsid w:val="00C55A46"/>
    <w:rsid w:val="00C619A8"/>
    <w:rsid w:val="00C74EA1"/>
    <w:rsid w:val="00C77E08"/>
    <w:rsid w:val="00CA46D4"/>
    <w:rsid w:val="00CB0743"/>
    <w:rsid w:val="00CB122D"/>
    <w:rsid w:val="00CB346D"/>
    <w:rsid w:val="00CB45AD"/>
    <w:rsid w:val="00CC09ED"/>
    <w:rsid w:val="00CC0A3A"/>
    <w:rsid w:val="00CC25FE"/>
    <w:rsid w:val="00CC514E"/>
    <w:rsid w:val="00CE2F95"/>
    <w:rsid w:val="00CE49E0"/>
    <w:rsid w:val="00CE6A57"/>
    <w:rsid w:val="00CF07D3"/>
    <w:rsid w:val="00D05903"/>
    <w:rsid w:val="00D0602A"/>
    <w:rsid w:val="00D12CE7"/>
    <w:rsid w:val="00D142E4"/>
    <w:rsid w:val="00D21E78"/>
    <w:rsid w:val="00D27622"/>
    <w:rsid w:val="00D408F4"/>
    <w:rsid w:val="00D47665"/>
    <w:rsid w:val="00D5588B"/>
    <w:rsid w:val="00D612BB"/>
    <w:rsid w:val="00D621ED"/>
    <w:rsid w:val="00D751F2"/>
    <w:rsid w:val="00D753E2"/>
    <w:rsid w:val="00D773A9"/>
    <w:rsid w:val="00D904D5"/>
    <w:rsid w:val="00D94707"/>
    <w:rsid w:val="00DA00B1"/>
    <w:rsid w:val="00DA6015"/>
    <w:rsid w:val="00DA6923"/>
    <w:rsid w:val="00DB0D31"/>
    <w:rsid w:val="00DB157E"/>
    <w:rsid w:val="00DB2F08"/>
    <w:rsid w:val="00DB3419"/>
    <w:rsid w:val="00DB6B8A"/>
    <w:rsid w:val="00DD650A"/>
    <w:rsid w:val="00DD745F"/>
    <w:rsid w:val="00DE4D60"/>
    <w:rsid w:val="00DE52F6"/>
    <w:rsid w:val="00DF3FFF"/>
    <w:rsid w:val="00DF7DE1"/>
    <w:rsid w:val="00E039E3"/>
    <w:rsid w:val="00E07044"/>
    <w:rsid w:val="00E0724A"/>
    <w:rsid w:val="00E131C4"/>
    <w:rsid w:val="00E15FE3"/>
    <w:rsid w:val="00E22A0F"/>
    <w:rsid w:val="00E22AB2"/>
    <w:rsid w:val="00E23E96"/>
    <w:rsid w:val="00E30524"/>
    <w:rsid w:val="00E36D85"/>
    <w:rsid w:val="00E429EE"/>
    <w:rsid w:val="00E449D5"/>
    <w:rsid w:val="00E47CFC"/>
    <w:rsid w:val="00E662C2"/>
    <w:rsid w:val="00E75D30"/>
    <w:rsid w:val="00E767B0"/>
    <w:rsid w:val="00E86BD8"/>
    <w:rsid w:val="00E87E7C"/>
    <w:rsid w:val="00E9072F"/>
    <w:rsid w:val="00EA7A95"/>
    <w:rsid w:val="00EB7413"/>
    <w:rsid w:val="00EC1BB3"/>
    <w:rsid w:val="00EC28DA"/>
    <w:rsid w:val="00ED00C5"/>
    <w:rsid w:val="00ED2CED"/>
    <w:rsid w:val="00ED42E1"/>
    <w:rsid w:val="00EE5A5E"/>
    <w:rsid w:val="00EE7B82"/>
    <w:rsid w:val="00EF0A70"/>
    <w:rsid w:val="00F03A9E"/>
    <w:rsid w:val="00F0756D"/>
    <w:rsid w:val="00F14285"/>
    <w:rsid w:val="00F36A9B"/>
    <w:rsid w:val="00F42930"/>
    <w:rsid w:val="00F43749"/>
    <w:rsid w:val="00F5251F"/>
    <w:rsid w:val="00F5678F"/>
    <w:rsid w:val="00F63F86"/>
    <w:rsid w:val="00F67F98"/>
    <w:rsid w:val="00F7005E"/>
    <w:rsid w:val="00F7100A"/>
    <w:rsid w:val="00F73D98"/>
    <w:rsid w:val="00F812E1"/>
    <w:rsid w:val="00F821B1"/>
    <w:rsid w:val="00F9420B"/>
    <w:rsid w:val="00FA1681"/>
    <w:rsid w:val="00FA3C77"/>
    <w:rsid w:val="00FB255A"/>
    <w:rsid w:val="00FD1A7D"/>
    <w:rsid w:val="00FD22C1"/>
    <w:rsid w:val="00FD4A30"/>
    <w:rsid w:val="00FF0C5B"/>
    <w:rsid w:val="00FF31BA"/>
    <w:rsid w:val="0A0F3908"/>
    <w:rsid w:val="3F38EBA9"/>
    <w:rsid w:val="4C310D94"/>
    <w:rsid w:val="5202E975"/>
    <w:rsid w:val="691AD283"/>
    <w:rsid w:val="695AC9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4E3B8"/>
  <w15:chartTrackingRefBased/>
  <w15:docId w15:val="{6D61D74A-5485-4D27-9F45-1EC53FEC0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728A"/>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C75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2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B728A"/>
    <w:rPr>
      <w:rFonts w:asciiTheme="majorHAnsi" w:eastAsiaTheme="majorEastAsia" w:hAnsiTheme="majorHAnsi" w:cstheme="majorBidi"/>
      <w:color w:val="2E74B5" w:themeColor="accent1" w:themeShade="BF"/>
      <w:sz w:val="32"/>
      <w:szCs w:val="32"/>
    </w:rPr>
  </w:style>
  <w:style w:type="character" w:styleId="Hyperlink">
    <w:name w:val="Hyperlink"/>
    <w:uiPriority w:val="99"/>
    <w:rsid w:val="001B728A"/>
    <w:rPr>
      <w:u w:val="single"/>
    </w:rPr>
  </w:style>
  <w:style w:type="paragraph" w:styleId="NormalWeb">
    <w:name w:val="Normal (Web)"/>
    <w:rsid w:val="001B728A"/>
    <w:pPr>
      <w:pBdr>
        <w:top w:val="nil"/>
        <w:left w:val="nil"/>
        <w:bottom w:val="nil"/>
        <w:right w:val="nil"/>
        <w:between w:val="nil"/>
        <w:bar w:val="nil"/>
      </w:pBdr>
      <w:spacing w:after="0" w:line="240" w:lineRule="atLeast"/>
    </w:pPr>
    <w:rPr>
      <w:rFonts w:ascii="Verdana" w:eastAsia="Arial Unicode MS" w:hAnsi="Verdana" w:cs="Arial Unicode MS"/>
      <w:color w:val="000000"/>
      <w:sz w:val="18"/>
      <w:szCs w:val="18"/>
      <w:u w:color="000000"/>
      <w:bdr w:val="nil"/>
      <w:lang w:val="nl-NL" w:eastAsia="ko-KR"/>
    </w:rPr>
  </w:style>
  <w:style w:type="paragraph" w:customStyle="1" w:styleId="Hoofdtekst">
    <w:name w:val="Hoofdtekst"/>
    <w:uiPriority w:val="99"/>
    <w:rsid w:val="001B728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nl-NL" w:eastAsia="ko-KR"/>
    </w:rPr>
  </w:style>
  <w:style w:type="paragraph" w:customStyle="1" w:styleId="HoofdtekstA">
    <w:name w:val="Hoofdtekst A"/>
    <w:rsid w:val="001B728A"/>
    <w:pPr>
      <w:pBdr>
        <w:top w:val="nil"/>
        <w:left w:val="nil"/>
        <w:bottom w:val="nil"/>
        <w:right w:val="nil"/>
        <w:between w:val="nil"/>
        <w:bar w:val="nil"/>
      </w:pBdr>
      <w:spacing w:after="200" w:line="240" w:lineRule="auto"/>
    </w:pPr>
    <w:rPr>
      <w:rFonts w:ascii="Verdana" w:eastAsia="Arial Unicode MS" w:hAnsi="Verdana" w:cs="Arial Unicode MS"/>
      <w:color w:val="000000"/>
      <w:sz w:val="18"/>
      <w:szCs w:val="18"/>
      <w:u w:color="000000"/>
      <w:bdr w:val="nil"/>
      <w:lang w:val="nl-NL" w:eastAsia="ko-KR"/>
    </w:rPr>
  </w:style>
  <w:style w:type="paragraph" w:styleId="FootnoteText">
    <w:name w:val="footnote text"/>
    <w:link w:val="FootnoteTextChar"/>
    <w:rsid w:val="001B728A"/>
    <w:pPr>
      <w:pBdr>
        <w:top w:val="nil"/>
        <w:left w:val="nil"/>
        <w:bottom w:val="nil"/>
        <w:right w:val="nil"/>
        <w:between w:val="nil"/>
        <w:bar w:val="nil"/>
      </w:pBdr>
      <w:spacing w:after="0" w:line="240" w:lineRule="auto"/>
    </w:pPr>
    <w:rPr>
      <w:rFonts w:ascii="Verdana" w:eastAsia="Verdana" w:hAnsi="Verdana" w:cs="Verdana"/>
      <w:color w:val="000000"/>
      <w:sz w:val="20"/>
      <w:szCs w:val="20"/>
      <w:u w:color="000000"/>
      <w:bdr w:val="nil"/>
      <w:lang w:eastAsia="ko-KR"/>
    </w:rPr>
  </w:style>
  <w:style w:type="character" w:customStyle="1" w:styleId="FootnoteTextChar">
    <w:name w:val="Footnote Text Char"/>
    <w:basedOn w:val="DefaultParagraphFont"/>
    <w:link w:val="FootnoteText"/>
    <w:rsid w:val="001B728A"/>
    <w:rPr>
      <w:rFonts w:ascii="Verdana" w:eastAsia="Verdana" w:hAnsi="Verdana" w:cs="Verdana"/>
      <w:color w:val="000000"/>
      <w:sz w:val="20"/>
      <w:szCs w:val="20"/>
      <w:u w:color="000000"/>
      <w:bdr w:val="nil"/>
      <w:lang w:eastAsia="ko-KR"/>
    </w:rPr>
  </w:style>
  <w:style w:type="character" w:customStyle="1" w:styleId="Hyperlink0">
    <w:name w:val="Hyperlink.0"/>
    <w:basedOn w:val="DefaultParagraphFont"/>
    <w:rsid w:val="001B728A"/>
    <w:rPr>
      <w:color w:val="0000FF"/>
      <w:sz w:val="18"/>
      <w:szCs w:val="18"/>
      <w:u w:val="single" w:color="0000FF"/>
      <w:lang w:val="nl-NL"/>
    </w:rPr>
  </w:style>
  <w:style w:type="paragraph" w:customStyle="1" w:styleId="Pa3">
    <w:name w:val="Pa3"/>
    <w:next w:val="Normal"/>
    <w:rsid w:val="001B728A"/>
    <w:pPr>
      <w:pBdr>
        <w:top w:val="nil"/>
        <w:left w:val="nil"/>
        <w:bottom w:val="nil"/>
        <w:right w:val="nil"/>
        <w:between w:val="nil"/>
        <w:bar w:val="nil"/>
      </w:pBdr>
      <w:spacing w:after="0" w:line="181" w:lineRule="atLeast"/>
    </w:pPr>
    <w:rPr>
      <w:rFonts w:ascii="RijksoverheidSansText" w:eastAsia="RijksoverheidSansText" w:hAnsi="RijksoverheidSansText" w:cs="RijksoverheidSansText"/>
      <w:color w:val="000000"/>
      <w:sz w:val="24"/>
      <w:szCs w:val="24"/>
      <w:u w:color="000000"/>
      <w:bdr w:val="nil"/>
      <w:lang w:val="nl-NL" w:eastAsia="ko-KR"/>
    </w:rPr>
  </w:style>
  <w:style w:type="character" w:styleId="FootnoteReference">
    <w:name w:val="footnote reference"/>
    <w:basedOn w:val="DefaultParagraphFont"/>
    <w:uiPriority w:val="99"/>
    <w:semiHidden/>
    <w:unhideWhenUsed/>
    <w:rsid w:val="001B728A"/>
    <w:rPr>
      <w:vertAlign w:val="superscript"/>
    </w:rPr>
  </w:style>
  <w:style w:type="paragraph" w:styleId="ListParagraph">
    <w:name w:val="List Paragraph"/>
    <w:basedOn w:val="Normal"/>
    <w:uiPriority w:val="34"/>
    <w:qFormat/>
    <w:rsid w:val="001B728A"/>
    <w:pPr>
      <w:pBdr>
        <w:top w:val="nil"/>
        <w:left w:val="nil"/>
        <w:bottom w:val="nil"/>
        <w:right w:val="nil"/>
        <w:between w:val="nil"/>
        <w:bar w:val="nil"/>
      </w:pBdr>
      <w:spacing w:after="0" w:line="240" w:lineRule="auto"/>
      <w:ind w:left="720"/>
      <w:contextualSpacing/>
    </w:pPr>
    <w:rPr>
      <w:rFonts w:ascii="Times New Roman" w:eastAsia="Arial Unicode MS" w:hAnsi="Times New Roman" w:cs="Times New Roman"/>
      <w:sz w:val="24"/>
      <w:szCs w:val="24"/>
      <w:bdr w:val="nil"/>
    </w:rPr>
  </w:style>
  <w:style w:type="paragraph" w:styleId="TOCHeading">
    <w:name w:val="TOC Heading"/>
    <w:basedOn w:val="Heading1"/>
    <w:next w:val="Normal"/>
    <w:uiPriority w:val="39"/>
    <w:unhideWhenUsed/>
    <w:qFormat/>
    <w:rsid w:val="001B728A"/>
    <w:pPr>
      <w:spacing w:line="259" w:lineRule="auto"/>
      <w:outlineLvl w:val="9"/>
    </w:pPr>
  </w:style>
  <w:style w:type="paragraph" w:styleId="TOC1">
    <w:name w:val="toc 1"/>
    <w:basedOn w:val="Normal"/>
    <w:next w:val="Normal"/>
    <w:autoRedefine/>
    <w:uiPriority w:val="39"/>
    <w:unhideWhenUsed/>
    <w:rsid w:val="001B728A"/>
    <w:pPr>
      <w:spacing w:after="100"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3C757C"/>
    <w:rPr>
      <w:rFonts w:asciiTheme="majorHAnsi" w:eastAsiaTheme="majorEastAsia" w:hAnsiTheme="majorHAnsi" w:cstheme="majorBidi"/>
      <w:color w:val="2E74B5" w:themeColor="accent1" w:themeShade="BF"/>
      <w:sz w:val="26"/>
      <w:szCs w:val="26"/>
    </w:rPr>
  </w:style>
  <w:style w:type="character" w:customStyle="1" w:styleId="normaltextrun">
    <w:name w:val="normaltextrun"/>
    <w:basedOn w:val="DefaultParagraphFont"/>
    <w:rsid w:val="00090CE7"/>
  </w:style>
  <w:style w:type="character" w:styleId="Strong">
    <w:name w:val="Strong"/>
    <w:basedOn w:val="DefaultParagraphFont"/>
    <w:uiPriority w:val="22"/>
    <w:qFormat/>
    <w:rsid w:val="00090CE7"/>
    <w:rPr>
      <w:b/>
      <w:bCs/>
    </w:rPr>
  </w:style>
  <w:style w:type="paragraph" w:customStyle="1" w:styleId="Para">
    <w:name w:val="Para #"/>
    <w:basedOn w:val="Normal"/>
    <w:uiPriority w:val="4"/>
    <w:qFormat/>
    <w:rsid w:val="00B32432"/>
    <w:pPr>
      <w:numPr>
        <w:numId w:val="4"/>
      </w:numPr>
      <w:spacing w:before="120" w:after="120" w:line="260" w:lineRule="atLeast"/>
      <w:jc w:val="both"/>
    </w:pPr>
    <w:rPr>
      <w:sz w:val="20"/>
      <w:lang w:val="en-GB" w:eastAsia="nl-NL"/>
    </w:rPr>
  </w:style>
  <w:style w:type="character" w:customStyle="1" w:styleId="s19">
    <w:name w:val="s19"/>
    <w:basedOn w:val="DefaultParagraphFont"/>
    <w:rsid w:val="008F5E96"/>
  </w:style>
  <w:style w:type="paragraph" w:styleId="BalloonText">
    <w:name w:val="Balloon Text"/>
    <w:basedOn w:val="Normal"/>
    <w:link w:val="BalloonTextChar"/>
    <w:uiPriority w:val="99"/>
    <w:semiHidden/>
    <w:unhideWhenUsed/>
    <w:rsid w:val="008F5E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5E96"/>
    <w:rPr>
      <w:rFonts w:ascii="Segoe UI" w:hAnsi="Segoe UI" w:cs="Segoe UI"/>
      <w:sz w:val="18"/>
      <w:szCs w:val="18"/>
    </w:rPr>
  </w:style>
  <w:style w:type="character" w:styleId="CommentReference">
    <w:name w:val="annotation reference"/>
    <w:basedOn w:val="DefaultParagraphFont"/>
    <w:uiPriority w:val="99"/>
    <w:semiHidden/>
    <w:unhideWhenUsed/>
    <w:rsid w:val="00426CEB"/>
    <w:rPr>
      <w:sz w:val="16"/>
      <w:szCs w:val="16"/>
    </w:rPr>
  </w:style>
  <w:style w:type="paragraph" w:styleId="CommentText">
    <w:name w:val="annotation text"/>
    <w:basedOn w:val="Normal"/>
    <w:link w:val="CommentTextChar"/>
    <w:uiPriority w:val="99"/>
    <w:unhideWhenUsed/>
    <w:rsid w:val="00426CEB"/>
    <w:pPr>
      <w:spacing w:line="240" w:lineRule="auto"/>
    </w:pPr>
    <w:rPr>
      <w:sz w:val="20"/>
      <w:szCs w:val="20"/>
    </w:rPr>
  </w:style>
  <w:style w:type="character" w:customStyle="1" w:styleId="CommentTextChar">
    <w:name w:val="Comment Text Char"/>
    <w:basedOn w:val="DefaultParagraphFont"/>
    <w:link w:val="CommentText"/>
    <w:uiPriority w:val="99"/>
    <w:rsid w:val="00426CEB"/>
    <w:rPr>
      <w:sz w:val="20"/>
      <w:szCs w:val="20"/>
    </w:rPr>
  </w:style>
  <w:style w:type="paragraph" w:styleId="CommentSubject">
    <w:name w:val="annotation subject"/>
    <w:basedOn w:val="CommentText"/>
    <w:next w:val="CommentText"/>
    <w:link w:val="CommentSubjectChar"/>
    <w:uiPriority w:val="99"/>
    <w:semiHidden/>
    <w:unhideWhenUsed/>
    <w:rsid w:val="00426CEB"/>
    <w:rPr>
      <w:b/>
      <w:bCs/>
    </w:rPr>
  </w:style>
  <w:style w:type="character" w:customStyle="1" w:styleId="CommentSubjectChar">
    <w:name w:val="Comment Subject Char"/>
    <w:basedOn w:val="CommentTextChar"/>
    <w:link w:val="CommentSubject"/>
    <w:uiPriority w:val="99"/>
    <w:semiHidden/>
    <w:rsid w:val="00426CEB"/>
    <w:rPr>
      <w:b/>
      <w:bCs/>
      <w:sz w:val="20"/>
      <w:szCs w:val="20"/>
    </w:rPr>
  </w:style>
  <w:style w:type="paragraph" w:styleId="Header">
    <w:name w:val="header"/>
    <w:basedOn w:val="Normal"/>
    <w:link w:val="HeaderChar"/>
    <w:uiPriority w:val="99"/>
    <w:unhideWhenUsed/>
    <w:rsid w:val="00EC1B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1BB3"/>
  </w:style>
  <w:style w:type="paragraph" w:styleId="Footer">
    <w:name w:val="footer"/>
    <w:basedOn w:val="Normal"/>
    <w:link w:val="FooterChar"/>
    <w:uiPriority w:val="99"/>
    <w:unhideWhenUsed/>
    <w:rsid w:val="00EC1B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1BB3"/>
  </w:style>
  <w:style w:type="paragraph" w:styleId="TOC2">
    <w:name w:val="toc 2"/>
    <w:basedOn w:val="Normal"/>
    <w:next w:val="Normal"/>
    <w:autoRedefine/>
    <w:uiPriority w:val="39"/>
    <w:unhideWhenUsed/>
    <w:rsid w:val="004170D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59883">
      <w:bodyDiv w:val="1"/>
      <w:marLeft w:val="0"/>
      <w:marRight w:val="0"/>
      <w:marTop w:val="0"/>
      <w:marBottom w:val="0"/>
      <w:divBdr>
        <w:top w:val="none" w:sz="0" w:space="0" w:color="auto"/>
        <w:left w:val="none" w:sz="0" w:space="0" w:color="auto"/>
        <w:bottom w:val="none" w:sz="0" w:space="0" w:color="auto"/>
        <w:right w:val="none" w:sz="0" w:space="0" w:color="auto"/>
      </w:divBdr>
    </w:div>
    <w:div w:id="89720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ecdguidelines.n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ecdguidelines.n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oecdguidelines.n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ecdguidelines.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90d331c-23a2-4fe0-8afc-0840a70776f7">
      <Value>11</Value>
      <Value>4</Value>
      <Value>3</Value>
      <Value>9</Value>
      <Value>8</Value>
    </TaxCatchAll>
    <nf4434b3fae540fe847866e45672fb3a xmlns="990d331c-23a2-4fe0-8afc-0840a70776f7">
      <Terms xmlns="http://schemas.microsoft.com/office/infopath/2007/PartnerControls">
        <TermInfo xmlns="http://schemas.microsoft.com/office/infopath/2007/PartnerControls">
          <TermName xmlns="http://schemas.microsoft.com/office/infopath/2007/PartnerControls">OECD Guidelines for multinational enterprises</TermName>
          <TermId xmlns="http://schemas.microsoft.com/office/infopath/2007/PartnerControls">254d2128-c9ee-4c89-8d12-6166e080f4af</TermId>
        </TermInfo>
      </Terms>
    </nf4434b3fae540fe847866e45672fb3a>
    <a45510494d1a450e9cee6905c7ad8168 xmlns="990d331c-23a2-4fe0-8afc-0840a70776f7">
      <Terms xmlns="http://schemas.microsoft.com/office/infopath/2007/PartnerControls">
        <TermInfo xmlns="http://schemas.microsoft.com/office/infopath/2007/PartnerControls">
          <TermName xmlns="http://schemas.microsoft.com/office/infopath/2007/PartnerControls">Not applicable</TermName>
          <TermId xmlns="http://schemas.microsoft.com/office/infopath/2007/PartnerControls">ec01d90b-9d0f-4785-8785-e1ea615196bf</TermId>
        </TermInfo>
      </Terms>
    </a45510494d1a450e9cee6905c7ad8168>
    <ge4bd621e46a403e97baf402a410deb5 xmlns="990d331c-23a2-4fe0-8afc-0840a70776f7">
      <Terms xmlns="http://schemas.microsoft.com/office/infopath/2007/PartnerControls">
        <TermInfo xmlns="http://schemas.microsoft.com/office/infopath/2007/PartnerControls">
          <TermName xmlns="http://schemas.microsoft.com/office/infopath/2007/PartnerControls">OECD</TermName>
          <TermId xmlns="http://schemas.microsoft.com/office/infopath/2007/PartnerControls">c510d123-1446-4db5-9de2-082be7cd6b88</TermId>
        </TermInfo>
      </Terms>
    </ge4bd621e46a403e97baf402a410deb5>
    <ga509c7afcac4f5cb939db754ffece25 xmlns="990d331c-23a2-4fe0-8afc-0840a7077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d92c6340-bc14-4cb2-a9a6-6deda93c493b</TermId>
        </TermInfo>
        <TermInfo xmlns="http://schemas.microsoft.com/office/infopath/2007/PartnerControls">
          <TermName xmlns="http://schemas.microsoft.com/office/infopath/2007/PartnerControls">NO MARKING</TermName>
          <TermId xmlns="http://schemas.microsoft.com/office/infopath/2007/PartnerControls">879e64ec-6597-483b-94db-f5f70afd7299</TermId>
        </TermInfo>
      </Terms>
    </ga509c7afcac4f5cb939db754ffece25>
  </documentManagement>
</p:properties>
</file>

<file path=customXml/item2.xml><?xml version="1.0" encoding="utf-8"?>
<ct:contentTypeSchema xmlns:ct="http://schemas.microsoft.com/office/2006/metadata/contentType" xmlns:ma="http://schemas.microsoft.com/office/2006/metadata/properties/metaAttributes" ct:_="" ma:_="" ma:contentTypeName="BZ Document" ma:contentTypeID="0x0101009C7CE436063D44E9BE7DC0259EF7C32F006EB9F9836A634AE58B6169785FD3936F002EB27DFEEDFA8749999125E308A5982D" ma:contentTypeVersion="113" ma:contentTypeDescription="The base content type which holds the minimum set of metadata required within BZ" ma:contentTypeScope="" ma:versionID="5a0495bfd485f0edd4624d5c417f4178">
  <xsd:schema xmlns:xsd="http://www.w3.org/2001/XMLSchema" xmlns:xs="http://www.w3.org/2001/XMLSchema" xmlns:p="http://schemas.microsoft.com/office/2006/metadata/properties" xmlns:ns2="990d331c-23a2-4fe0-8afc-0840a70776f7" targetNamespace="http://schemas.microsoft.com/office/2006/metadata/properties" ma:root="true" ma:fieldsID="e01fe08be92bcdbf28b927a09ecb2af2" ns2:_="">
    <xsd:import namespace="990d331c-23a2-4fe0-8afc-0840a70776f7"/>
    <xsd:element name="properties">
      <xsd:complexType>
        <xsd:sequence>
          <xsd:element name="documentManagement">
            <xsd:complexType>
              <xsd:all>
                <xsd:element ref="ns2:TaxCatchAll" minOccurs="0"/>
                <xsd:element ref="ns2:TaxCatchAllLabel" minOccurs="0"/>
                <xsd:element ref="ns2:ga509c7afcac4f5cb939db754ffece25" minOccurs="0"/>
                <xsd:element ref="ns2:a45510494d1a450e9cee6905c7ad8168" minOccurs="0"/>
                <xsd:element ref="ns2:ge4bd621e46a403e97baf402a410deb5" minOccurs="0"/>
                <xsd:element ref="ns2:nf4434b3fae540fe847866e45672fb3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d331c-23a2-4fe0-8afc-0840a70776f7" elementFormDefault="qualified">
    <xsd:import namespace="http://schemas.microsoft.com/office/2006/documentManagement/types"/>
    <xsd:import namespace="http://schemas.microsoft.com/office/infopath/2007/PartnerControls"/>
    <xsd:element name="TaxCatchAll" ma:index="4" nillable="true" ma:displayName="Taxonomy Catch All Column" ma:hidden="true" ma:list="{d8cc4761-83ad-4a24-b0a9-3bd4ee1d1031}" ma:internalName="TaxCatchAll" ma:showField="CatchAllData" ma:web="990d331c-23a2-4fe0-8afc-0840a70776f7">
      <xsd:complexType>
        <xsd:complexContent>
          <xsd:extension base="dms:MultiChoiceLookup">
            <xsd:sequence>
              <xsd:element name="Value" type="dms:Lookup" maxOccurs="unbounded" minOccurs="0" nillable="true"/>
            </xsd:sequence>
          </xsd:extension>
        </xsd:complexContent>
      </xsd:complexType>
    </xsd:element>
    <xsd:element name="TaxCatchAllLabel" ma:index="5" nillable="true" ma:displayName="Taxonomy Catch All Column1" ma:hidden="true" ma:list="{d8cc4761-83ad-4a24-b0a9-3bd4ee1d1031}" ma:internalName="TaxCatchAllLabel" ma:readOnly="true" ma:showField="CatchAllDataLabel" ma:web="990d331c-23a2-4fe0-8afc-0840a70776f7">
      <xsd:complexType>
        <xsd:complexContent>
          <xsd:extension base="dms:MultiChoiceLookup">
            <xsd:sequence>
              <xsd:element name="Value" type="dms:Lookup" maxOccurs="unbounded" minOccurs="0" nillable="true"/>
            </xsd:sequence>
          </xsd:extension>
        </xsd:complexContent>
      </xsd:complexType>
    </xsd:element>
    <xsd:element name="ga509c7afcac4f5cb939db754ffece25" ma:index="10" ma:taxonomy="true" ma:internalName="ga509c7afcac4f5cb939db754ffece25" ma:taxonomyFieldName="BZ_Classification" ma:displayName="Classification" ma:default="4;#UNCLASSIFIED|d92c6340-bc14-4cb2-a9a6-6deda93c493b;#11;#NO MARKING|879e64ec-6597-483b-94db-f5f70afd7299" ma:fieldId="{0a509c7a-fcac-4f5c-b939-db754ffece25}" ma:taxonomyMulti="true" ma:sspId="8805c4df-c498-47b2-b08d-81a6414440b6" ma:termSetId="44f3d25f-308e-4607-ad37-3154dc8df61f" ma:anchorId="00000000-0000-0000-0000-000000000000" ma:open="false" ma:isKeyword="false">
      <xsd:complexType>
        <xsd:sequence>
          <xsd:element ref="pc:Terms" minOccurs="0" maxOccurs="1"/>
        </xsd:sequence>
      </xsd:complexType>
    </xsd:element>
    <xsd:element name="a45510494d1a450e9cee6905c7ad8168" ma:index="12" ma:taxonomy="true" ma:internalName="a45510494d1a450e9cee6905c7ad8168" ma:taxonomyFieldName="BZ_Country" ma:displayName="Country-State" ma:default="2;#The Netherlands|7f69a7bb-478c-499d-a6cf-5869916dfee4" ma:fieldId="{a4551049-4d1a-450e-9cee-6905c7ad8168}" ma:taxonomyMulti="true" ma:sspId="8805c4df-c498-47b2-b08d-81a6414440b6" ma:termSetId="4b11575f-0152-447b-b1c6-14c5152cc435" ma:anchorId="3fd0673f-2ea8-4564-bac8-0f075207e234" ma:open="false" ma:isKeyword="false">
      <xsd:complexType>
        <xsd:sequence>
          <xsd:element ref="pc:Terms" minOccurs="0" maxOccurs="1"/>
        </xsd:sequence>
      </xsd:complexType>
    </xsd:element>
    <xsd:element name="ge4bd621e46a403e97baf402a410deb5" ma:index="14" ma:taxonomy="true" ma:internalName="ge4bd621e46a403e97baf402a410deb5" ma:taxonomyFieldName="BZ_Forum" ma:displayName="Forum-Organization" ma:default="3;#OECD|c510d123-1446-4db5-9de2-082be7cd6b88" ma:fieldId="{0e4bd621-e46a-403e-97ba-f402a410deb5}" ma:taxonomyMulti="true" ma:sspId="8805c4df-c498-47b2-b08d-81a6414440b6" ma:termSetId="848f9261-8583-4c5c-81e7-3232ddfe54f1" ma:anchorId="00000000-0000-0000-0000-000000000000" ma:open="false" ma:isKeyword="false">
      <xsd:complexType>
        <xsd:sequence>
          <xsd:element ref="pc:Terms" minOccurs="0" maxOccurs="1"/>
        </xsd:sequence>
      </xsd:complexType>
    </xsd:element>
    <xsd:element name="nf4434b3fae540fe847866e45672fb3a" ma:index="16" ma:taxonomy="true" ma:internalName="nf4434b3fae540fe847866e45672fb3a" ma:taxonomyFieldName="BZ_Theme" ma:displayName="Theme" ma:default="8;#OECD Guidelines for multinational enterprises|254d2128-c9ee-4c89-8d12-6166e080f4af" ma:fieldId="{7f4434b3-fae5-40fe-8478-66e45672fb3a}" ma:taxonomyMulti="true" ma:sspId="8805c4df-c498-47b2-b08d-81a6414440b6" ma:termSetId="b886aef3-384f-4e31-a5b8-4c90748da2e0"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6C2E24-F398-4743-86CF-91D0D3E4E692}">
  <ds:schemaRefs>
    <ds:schemaRef ds:uri="http://schemas.microsoft.com/office/2006/metadata/properties"/>
    <ds:schemaRef ds:uri="http://schemas.microsoft.com/office/infopath/2007/PartnerControls"/>
    <ds:schemaRef ds:uri="990d331c-23a2-4fe0-8afc-0840a70776f7"/>
  </ds:schemaRefs>
</ds:datastoreItem>
</file>

<file path=customXml/itemProps2.xml><?xml version="1.0" encoding="utf-8"?>
<ds:datastoreItem xmlns:ds="http://schemas.openxmlformats.org/officeDocument/2006/customXml" ds:itemID="{5FBB0AA7-1062-4600-9136-C5D091A42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d331c-23a2-4fe0-8afc-0840a7077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DCC708-5FF7-45A4-B655-3C350E88012C}">
  <ds:schemaRefs>
    <ds:schemaRef ds:uri="http://schemas.openxmlformats.org/officeDocument/2006/bibliography"/>
  </ds:schemaRefs>
</ds:datastoreItem>
</file>

<file path=customXml/itemProps4.xml><?xml version="1.0" encoding="utf-8"?>
<ds:datastoreItem xmlns:ds="http://schemas.openxmlformats.org/officeDocument/2006/customXml" ds:itemID="{B196F8DD-AB2B-402A-A86E-CE58F706AC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3200</Words>
  <Characters>18240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Initial Assessment BWI vs Inter-IKEA</vt:lpstr>
    </vt:vector>
  </TitlesOfParts>
  <Company>Ministerie van Buitenlandse Zaken</Company>
  <LinksUpToDate>false</LinksUpToDate>
  <CharactersWithSpaces>21398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Assessment BWI vs Inter-IKEA</dc:title>
  <dc:subject/>
  <dc:creator>Wert, JCW</dc:creator>
  <cp:keywords/>
  <dc:description/>
  <cp:lastModifiedBy>Coen Van Der Veer</cp:lastModifiedBy>
  <cp:revision>2</cp:revision>
  <cp:lastPrinted>2021-08-30T13:59:00Z</cp:lastPrinted>
  <dcterms:created xsi:type="dcterms:W3CDTF">2021-10-21T06:40:00Z</dcterms:created>
  <dcterms:modified xsi:type="dcterms:W3CDTF">2021-10-21T06:40:00Z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0x0101009C7CE436063D44E9BE7DC0259EF7C32F006EB9F9836A634AE58B6169785FD3936F002EB27DFEEDFA8749999125E308A5982D</vt:lpwstr>
  </property>
  <property fmtid="{D5CDD505-2E9C-101B-9397-08002B2CF9AE}" pid="3" name="BZ_Country">
    <vt:lpwstr>9;#Not applicable|ec01d90b-9d0f-4785-8785-e1ea615196bf</vt:lpwstr>
  </property>
  <property fmtid="{D5CDD505-2E9C-101B-9397-08002B2CF9AE}" pid="4" name="BZ_Classification">
    <vt:lpwstr>4;#UNCLASSIFIED|d92c6340-bc14-4cb2-a9a6-6deda93c493b;#11;#NO MARKING|879e64ec-6597-483b-94db-f5f70afd7299</vt:lpwstr>
  </property>
  <property fmtid="{D5CDD505-2E9C-101B-9397-08002B2CF9AE}" pid="5" name="BZ_Forum">
    <vt:lpwstr>3;#OECD|c510d123-1446-4db5-9de2-082be7cd6b88</vt:lpwstr>
  </property>
  <property fmtid="{D5CDD505-2E9C-101B-9397-08002B2CF9AE}" pid="6" name="BZ_Theme">
    <vt:lpwstr>8;#OECD Guidelines for multinational enterprises|254d2128-c9ee-4c89-8d12-6166e080f4af</vt:lpwstr>
  </property>
</Properties>
</file>